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简体" w:eastAsia="方正黑体简体"/>
          <w:spacing w:val="20"/>
          <w:sz w:val="28"/>
          <w:szCs w:val="28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</w:rPr>
        <w:t>2020</w:t>
      </w:r>
      <w:r>
        <w:rPr>
          <w:rFonts w:ascii="Times New Roman" w:hAnsi="Times New Roman" w:eastAsia="方正小标宋简体"/>
          <w:sz w:val="44"/>
          <w:szCs w:val="44"/>
        </w:rPr>
        <w:t>年上半年国民经济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和社会发展计划执行情况的报告</w:t>
      </w:r>
    </w:p>
    <w:bookmarkEnd w:id="1"/>
    <w:p>
      <w:pPr>
        <w:spacing w:line="540" w:lineRule="exact"/>
        <w:jc w:val="center"/>
        <w:rPr>
          <w:rFonts w:ascii="方正楷体简体" w:hAnsi="楷体" w:eastAsia="方正楷体简体"/>
          <w:szCs w:val="32"/>
        </w:rPr>
      </w:pPr>
      <w:r>
        <w:rPr>
          <w:rFonts w:hint="eastAsia" w:ascii="方正楷体简体" w:hAnsi="楷体" w:eastAsia="方正楷体简体"/>
          <w:szCs w:val="32"/>
        </w:rPr>
        <w:t xml:space="preserve">区发改委 </w:t>
      </w:r>
    </w:p>
    <w:p>
      <w:pPr>
        <w:spacing w:line="540" w:lineRule="exact"/>
        <w:jc w:val="center"/>
        <w:rPr>
          <w:rFonts w:ascii="Times New Roman" w:hAnsi="Times New Roman" w:eastAsia="方正楷体简体"/>
          <w:szCs w:val="32"/>
        </w:rPr>
      </w:pPr>
    </w:p>
    <w:p>
      <w:pPr>
        <w:spacing w:line="540" w:lineRule="exact"/>
        <w:rPr>
          <w:rFonts w:ascii="方正仿宋简体" w:hAnsi="Times New Roman"/>
          <w:szCs w:val="32"/>
        </w:rPr>
      </w:pPr>
      <w:r>
        <w:rPr>
          <w:rFonts w:hint="eastAsia" w:ascii="方正仿宋简体" w:hAnsi="Times New Roman"/>
          <w:szCs w:val="32"/>
        </w:rPr>
        <w:t>主任、各位副主任、各位委员：</w:t>
      </w:r>
    </w:p>
    <w:p>
      <w:pPr>
        <w:spacing w:line="540" w:lineRule="exact"/>
        <w:ind w:firstLine="632" w:firstLineChars="200"/>
        <w:rPr>
          <w:rFonts w:ascii="方正仿宋简体" w:hAnsi="Times New Roman"/>
          <w:szCs w:val="32"/>
        </w:rPr>
      </w:pPr>
      <w:r>
        <w:rPr>
          <w:rFonts w:hint="eastAsia" w:ascii="方正仿宋简体" w:hAnsi="Times New Roman"/>
          <w:szCs w:val="32"/>
        </w:rPr>
        <w:t>受区人民政府委托，向会议报告</w:t>
      </w:r>
      <w:r>
        <w:rPr>
          <w:rFonts w:ascii="Times New Roman" w:hAnsi="Times New Roman"/>
          <w:szCs w:val="32"/>
        </w:rPr>
        <w:t>2020</w:t>
      </w:r>
      <w:r>
        <w:rPr>
          <w:rFonts w:hint="eastAsia" w:ascii="方正仿宋简体" w:hAnsi="Times New Roman"/>
          <w:szCs w:val="32"/>
        </w:rPr>
        <w:t xml:space="preserve">年上半年国民经济和社会发展计划执行情况，请予审议。 </w:t>
      </w:r>
    </w:p>
    <w:p>
      <w:pPr>
        <w:spacing w:line="540" w:lineRule="exact"/>
        <w:ind w:firstLine="632" w:firstLineChars="200"/>
        <w:rPr>
          <w:rFonts w:ascii="Times New Roman" w:hAnsi="Times New Roman" w:eastAsia="方正黑体简体"/>
          <w:szCs w:val="32"/>
        </w:rPr>
      </w:pPr>
      <w:r>
        <w:rPr>
          <w:rFonts w:ascii="Times New Roman" w:hAnsi="Times New Roman" w:eastAsia="方正黑体简体"/>
          <w:szCs w:val="32"/>
        </w:rPr>
        <w:t>一、上半年国民经济和社会发展计划执行情况</w:t>
      </w:r>
    </w:p>
    <w:p>
      <w:pPr>
        <w:spacing w:line="540" w:lineRule="exact"/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今年以来，全区上下围绕区四届人大</w:t>
      </w:r>
      <w:r>
        <w:rPr>
          <w:rFonts w:hint="eastAsia" w:ascii="Times New Roman" w:hAnsi="Times New Roman"/>
          <w:szCs w:val="32"/>
        </w:rPr>
        <w:t>四</w:t>
      </w:r>
      <w:r>
        <w:rPr>
          <w:rFonts w:ascii="Times New Roman" w:hAnsi="Times New Roman"/>
          <w:szCs w:val="32"/>
        </w:rPr>
        <w:t>次会议确定的各项年度计划任务，</w:t>
      </w:r>
      <w:r>
        <w:rPr>
          <w:rFonts w:hint="eastAsia" w:ascii="Times New Roman" w:hAnsi="Times New Roman"/>
          <w:szCs w:val="32"/>
        </w:rPr>
        <w:t>紧盯“今年进入全市综合考核第二方阵”的目标，</w:t>
      </w:r>
      <w:r>
        <w:rPr>
          <w:rFonts w:ascii="Times New Roman" w:hAnsi="Times New Roman"/>
          <w:szCs w:val="32"/>
        </w:rPr>
        <w:t>牢牢把握高质量发展要求，坚持稳中求进工作总基调，</w:t>
      </w:r>
      <w:r>
        <w:rPr>
          <w:rFonts w:hint="eastAsia" w:ascii="Times New Roman" w:hAnsi="Times New Roman"/>
          <w:szCs w:val="32"/>
        </w:rPr>
        <w:t>自觉践行</w:t>
      </w:r>
      <w:r>
        <w:rPr>
          <w:rFonts w:ascii="Times New Roman" w:hAnsi="Times New Roman"/>
          <w:szCs w:val="32"/>
        </w:rPr>
        <w:t>新发展理念，紧扣“产业增长极”“宜居新空间”“生态后花园”三大发展定位，积极抢抓市重点支持六合</w:t>
      </w:r>
      <w:r>
        <w:rPr>
          <w:rFonts w:hint="eastAsia" w:ascii="Times New Roman" w:hAnsi="Times New Roman"/>
          <w:szCs w:val="32"/>
        </w:rPr>
        <w:t>加快</w:t>
      </w:r>
      <w:r>
        <w:rPr>
          <w:rFonts w:ascii="Times New Roman" w:hAnsi="Times New Roman"/>
          <w:szCs w:val="32"/>
        </w:rPr>
        <w:t>高质量发展的重大机遇，统筹推进疫情防控和经济社会发展</w:t>
      </w:r>
      <w:r>
        <w:rPr>
          <w:rFonts w:hint="eastAsia" w:ascii="Times New Roman" w:hAnsi="Times New Roman"/>
          <w:szCs w:val="32"/>
        </w:rPr>
        <w:t>，全区</w:t>
      </w:r>
      <w:r>
        <w:rPr>
          <w:rFonts w:ascii="Times New Roman" w:hAnsi="Times New Roman"/>
          <w:szCs w:val="32"/>
        </w:rPr>
        <w:t>经济</w:t>
      </w:r>
      <w:r>
        <w:rPr>
          <w:rFonts w:hint="eastAsia" w:ascii="Times New Roman" w:hAnsi="Times New Roman"/>
          <w:szCs w:val="32"/>
        </w:rPr>
        <w:t>运行稳中攀升、逆势上扬，主要经济指标在全市实现争先进位</w:t>
      </w:r>
      <w:r>
        <w:rPr>
          <w:rFonts w:ascii="Times New Roman" w:hAnsi="Times New Roman"/>
          <w:szCs w:val="32"/>
        </w:rPr>
        <w:t>。</w:t>
      </w:r>
    </w:p>
    <w:p>
      <w:pPr>
        <w:spacing w:line="540" w:lineRule="exact"/>
        <w:ind w:firstLine="632" w:firstLineChars="200"/>
        <w:rPr>
          <w:rFonts w:ascii="Times New Roman" w:hAnsi="Times New Roman" w:eastAsia="方正楷体简体"/>
          <w:szCs w:val="32"/>
        </w:rPr>
      </w:pPr>
      <w:r>
        <w:rPr>
          <w:rFonts w:ascii="Times New Roman" w:hAnsi="Times New Roman" w:eastAsia="方正楷体简体"/>
          <w:szCs w:val="32"/>
        </w:rPr>
        <w:t>（一）主要目标完成情况</w:t>
      </w:r>
    </w:p>
    <w:p>
      <w:pPr>
        <w:spacing w:line="540" w:lineRule="exact"/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</w:t>
      </w:r>
      <w:r>
        <w:rPr>
          <w:rFonts w:hint="eastAsia" w:ascii="Times New Roman" w:hAnsi="Times New Roman"/>
          <w:szCs w:val="32"/>
        </w:rPr>
        <w:t>20</w:t>
      </w:r>
      <w:r>
        <w:rPr>
          <w:rFonts w:ascii="Times New Roman" w:hAnsi="Times New Roman"/>
          <w:szCs w:val="32"/>
        </w:rPr>
        <w:t>年列入人代会主要目标预期性和约束性两类指标</w:t>
      </w:r>
      <w:r>
        <w:rPr>
          <w:rFonts w:hint="eastAsia" w:ascii="Times New Roman" w:hAnsi="Times New Roman"/>
          <w:szCs w:val="32"/>
        </w:rPr>
        <w:t>29</w:t>
      </w:r>
      <w:r>
        <w:rPr>
          <w:rFonts w:ascii="Times New Roman" w:hAnsi="Times New Roman"/>
          <w:szCs w:val="32"/>
        </w:rPr>
        <w:t>项，其中</w:t>
      </w:r>
      <w:r>
        <w:rPr>
          <w:rFonts w:hint="eastAsia" w:ascii="Times New Roman" w:hAnsi="Times New Roman"/>
          <w:szCs w:val="32"/>
        </w:rPr>
        <w:t>：23项预期性指标中16项指标达标，6项约束性指标全部达标。</w:t>
      </w:r>
    </w:p>
    <w:p>
      <w:pPr>
        <w:spacing w:line="540" w:lineRule="exact"/>
        <w:ind w:firstLine="632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因受疫情影响，虽有7项指标与年度目标计划有一定差距，但完成情况好于全市平均水平，在全市排名靠前。地区生产总值同比增长4.5%，高于全市2.3个百分点，全市排名第4，较去年前进7位；社会消费品零售总额下降5.4%，高于全市1.9个百分点，全市排名第3，较去年前进4位；一般公共预算收入增长3.9%，高于全市3.4个百分点，全市排名第3位，较去年前进1位；全体居民人均可支配收入增长3%，与全市持平，全市排名第4位。</w:t>
      </w:r>
    </w:p>
    <w:p>
      <w:pPr>
        <w:spacing w:afterLines="50" w:line="440" w:lineRule="exact"/>
        <w:jc w:val="center"/>
        <w:rPr>
          <w:rFonts w:ascii="Times New Roman" w:hAnsi="Times New Roman" w:eastAsia="方正黑体简体"/>
          <w:sz w:val="28"/>
          <w:szCs w:val="28"/>
        </w:rPr>
      </w:pPr>
      <w:r>
        <w:rPr>
          <w:rFonts w:ascii="Times New Roman" w:hAnsi="Times New Roman" w:eastAsia="方正黑体简体"/>
          <w:sz w:val="28"/>
          <w:szCs w:val="28"/>
        </w:rPr>
        <w:t>2020年上半年综合指标完成情况表</w:t>
      </w:r>
    </w:p>
    <w:tbl>
      <w:tblPr>
        <w:tblStyle w:val="4"/>
        <w:tblW w:w="10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51"/>
        <w:gridCol w:w="2693"/>
        <w:gridCol w:w="851"/>
        <w:gridCol w:w="1842"/>
        <w:gridCol w:w="1166"/>
        <w:gridCol w:w="23"/>
        <w:gridCol w:w="98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5" w:type="dxa"/>
            <w:vMerge w:val="restart"/>
            <w:tcBorders>
              <w:top w:val="double" w:color="auto" w:sz="4" w:space="0"/>
              <w:left w:val="nil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  <w:r>
              <w:rPr>
                <w:rFonts w:ascii="Times New Roman" w:hAnsi="Times New Roman" w:eastAsia="方正黑体简体"/>
                <w:sz w:val="20"/>
                <w:szCs w:val="20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  <w:r>
              <w:rPr>
                <w:rFonts w:ascii="Times New Roman" w:hAnsi="Times New Roman" w:eastAsia="方正黑体简体"/>
                <w:sz w:val="20"/>
                <w:szCs w:val="20"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  <w:r>
              <w:rPr>
                <w:rFonts w:ascii="Times New Roman" w:hAnsi="Times New Roman" w:eastAsia="方正黑体简体"/>
                <w:sz w:val="20"/>
                <w:szCs w:val="20"/>
              </w:rPr>
              <w:t>指标名称</w:t>
            </w:r>
          </w:p>
        </w:tc>
        <w:tc>
          <w:tcPr>
            <w:tcW w:w="851" w:type="dxa"/>
            <w:vMerge w:val="restart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  <w:r>
              <w:rPr>
                <w:rFonts w:ascii="Times New Roman" w:hAnsi="Times New Roman" w:eastAsia="方正黑体简体"/>
                <w:sz w:val="20"/>
                <w:szCs w:val="20"/>
              </w:rPr>
              <w:t>单位</w:t>
            </w:r>
          </w:p>
        </w:tc>
        <w:tc>
          <w:tcPr>
            <w:tcW w:w="1842" w:type="dxa"/>
            <w:vMerge w:val="restart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  <w:r>
              <w:rPr>
                <w:rFonts w:ascii="Times New Roman" w:hAnsi="Times New Roman" w:eastAsia="方正黑体简体"/>
                <w:sz w:val="20"/>
                <w:szCs w:val="20"/>
              </w:rPr>
              <w:t>年度计划</w:t>
            </w:r>
          </w:p>
        </w:tc>
        <w:tc>
          <w:tcPr>
            <w:tcW w:w="3544" w:type="dxa"/>
            <w:gridSpan w:val="4"/>
            <w:tcBorders>
              <w:top w:val="double" w:color="auto" w:sz="4" w:space="0"/>
              <w:left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  <w:r>
              <w:rPr>
                <w:rFonts w:ascii="Times New Roman" w:hAnsi="Times New Roman" w:eastAsia="方正黑体简体"/>
                <w:sz w:val="20"/>
                <w:szCs w:val="20"/>
              </w:rPr>
              <w:t>上半年完成情况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85" w:type="dxa"/>
            <w:vMerge w:val="continue"/>
            <w:tcBorders>
              <w:left w:val="nil"/>
              <w:bottom w:val="dotted" w:color="auto" w:sz="4" w:space="0"/>
              <w:right w:val="dotted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 w:eastAsia="方正黑体简体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 w:eastAsia="方正黑体简体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 w:eastAsia="方正黑体简体"/>
                <w:szCs w:val="32"/>
              </w:rPr>
            </w:pPr>
          </w:p>
        </w:tc>
        <w:tc>
          <w:tcPr>
            <w:tcW w:w="1842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 w:eastAsia="方正黑体简体"/>
                <w:szCs w:val="32"/>
              </w:rPr>
            </w:pPr>
          </w:p>
        </w:tc>
        <w:tc>
          <w:tcPr>
            <w:tcW w:w="1189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  <w:r>
              <w:rPr>
                <w:rFonts w:ascii="Times New Roman" w:hAnsi="Times New Roman" w:eastAsia="方正黑体简体"/>
                <w:sz w:val="20"/>
                <w:szCs w:val="20"/>
              </w:rPr>
              <w:t>实绩</w:t>
            </w:r>
          </w:p>
        </w:tc>
        <w:tc>
          <w:tcPr>
            <w:tcW w:w="982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  <w:r>
              <w:rPr>
                <w:rFonts w:ascii="Times New Roman" w:hAnsi="Times New Roman" w:eastAsia="方正黑体简体"/>
                <w:sz w:val="20"/>
                <w:szCs w:val="20"/>
              </w:rPr>
              <w:t>增幅（%）</w:t>
            </w:r>
          </w:p>
        </w:tc>
        <w:tc>
          <w:tcPr>
            <w:tcW w:w="1373" w:type="dxa"/>
            <w:tcBorders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/>
                <w:sz w:val="20"/>
                <w:szCs w:val="20"/>
              </w:rPr>
            </w:pPr>
            <w:r>
              <w:rPr>
                <w:rFonts w:ascii="Times New Roman" w:hAnsi="Times New Roman" w:eastAsia="方正黑体简体"/>
                <w:sz w:val="20"/>
                <w:szCs w:val="20"/>
              </w:rPr>
              <w:t>进度（%）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restart"/>
            <w:tcBorders>
              <w:top w:val="dotted" w:color="auto" w:sz="4" w:space="0"/>
              <w:left w:val="nil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预期性指标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地区生产总值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5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224.65亿元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4.5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未达进度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制造业增加值占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GDP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比重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23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%以上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24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全社会固定资产投资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左右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7.6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ind w:firstLine="196" w:firstLineChars="100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其中：工业投资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11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15.6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高新技术产业投资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12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11.65亿元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-11.3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未达进度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社会消费品零售总额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7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123.89亿元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-5.4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未达进度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外贸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进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出口总额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亿元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60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5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27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1.7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未达进度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实际利用外资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亿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美元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1.51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90.3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实际利用内资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亿元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100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49.3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一般公共预算收入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25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.17亿元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.9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未达进度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税收收入占一般公共预算收入比重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84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以上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81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未达进度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单位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GDP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建设用地使用面积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公顷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亿元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54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年度指标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单位建设用地税收收入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亿元/千公顷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16</w:t>
            </w:r>
          </w:p>
        </w:tc>
        <w:tc>
          <w:tcPr>
            <w:tcW w:w="118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2.55</w:t>
            </w:r>
          </w:p>
        </w:tc>
        <w:tc>
          <w:tcPr>
            <w:tcW w:w="9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全社会研发经费支出占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GDP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比重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年度指标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净增规模以上工业企业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家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确保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30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，力争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40</w:t>
            </w:r>
          </w:p>
        </w:tc>
        <w:tc>
          <w:tcPr>
            <w:tcW w:w="354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42家企业达到入统标准序时进度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净增高新技术企业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家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60</w:t>
            </w:r>
          </w:p>
        </w:tc>
        <w:tc>
          <w:tcPr>
            <w:tcW w:w="354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申报高新技术企业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180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eastAsia="仿宋_GB2312"/>
                <w:sz w:val="20"/>
                <w:szCs w:val="20"/>
              </w:rPr>
              <w:t>新增</w:t>
            </w:r>
            <w:r>
              <w:rPr>
                <w:rFonts w:ascii="Times New Roman" w:eastAsia="仿宋_GB2312"/>
                <w:sz w:val="20"/>
                <w:szCs w:val="20"/>
              </w:rPr>
              <w:t>新型研发机构备案数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家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第一批申报市级新型研发机构6家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文化产业增加值占GDP比重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提高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个百分点</w:t>
            </w:r>
          </w:p>
        </w:tc>
        <w:tc>
          <w:tcPr>
            <w:tcW w:w="354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年度指标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全体居民人均可支配收入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23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146元</w:t>
            </w:r>
          </w:p>
        </w:tc>
        <w:tc>
          <w:tcPr>
            <w:tcW w:w="100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未达进度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农村居民人均可支配收入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高于城镇居民增幅</w:t>
            </w:r>
          </w:p>
        </w:tc>
        <w:tc>
          <w:tcPr>
            <w:tcW w:w="11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14333元</w:t>
            </w:r>
          </w:p>
        </w:tc>
        <w:tc>
          <w:tcPr>
            <w:tcW w:w="100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3.5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城镇新增就业人数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人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20000</w:t>
            </w:r>
          </w:p>
        </w:tc>
        <w:tc>
          <w:tcPr>
            <w:tcW w:w="11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13021</w:t>
            </w:r>
          </w:p>
        </w:tc>
        <w:tc>
          <w:tcPr>
            <w:tcW w:w="100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城镇登记失业率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控制在省定标准以内</w:t>
            </w:r>
          </w:p>
        </w:tc>
        <w:tc>
          <w:tcPr>
            <w:tcW w:w="116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1.78</w:t>
            </w:r>
          </w:p>
        </w:tc>
        <w:tc>
          <w:tcPr>
            <w:tcW w:w="1005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居民消费价格涨幅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控制在市定调控目标以内</w:t>
            </w:r>
          </w:p>
        </w:tc>
        <w:tc>
          <w:tcPr>
            <w:tcW w:w="3544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控制在市定调控目标内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restart"/>
            <w:tcBorders>
              <w:left w:val="nil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约束性指标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单位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GDP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生产安全事故死亡率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达到市考核目标</w:t>
            </w:r>
          </w:p>
        </w:tc>
        <w:tc>
          <w:tcPr>
            <w:tcW w:w="116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单位工业增加值能耗下降</w:t>
            </w:r>
          </w:p>
        </w:tc>
        <w:tc>
          <w:tcPr>
            <w:tcW w:w="85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达到市考核目标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年度指标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地表水达到或好于Ⅲ类水质比例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达到市考核目标</w:t>
            </w:r>
          </w:p>
        </w:tc>
        <w:tc>
          <w:tcPr>
            <w:tcW w:w="217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空气质量达到二级标准以上天数比例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77%</w:t>
            </w:r>
          </w:p>
        </w:tc>
        <w:tc>
          <w:tcPr>
            <w:tcW w:w="11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84.1</w:t>
            </w:r>
          </w:p>
        </w:tc>
        <w:tc>
          <w:tcPr>
            <w:tcW w:w="100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Merge w:val="continue"/>
            <w:tcBorders>
              <w:left w:val="nil"/>
              <w:right w:val="dotted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主要污染物排放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控制在市考核目标以内</w:t>
            </w:r>
          </w:p>
        </w:tc>
        <w:tc>
          <w:tcPr>
            <w:tcW w:w="354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主要污染物减排工程有序推进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85" w:type="dxa"/>
            <w:vMerge w:val="continue"/>
            <w:tcBorders>
              <w:left w:val="nil"/>
              <w:bottom w:val="double" w:color="auto" w:sz="4" w:space="0"/>
              <w:right w:val="dotted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 w:eastAsia="仿宋_GB2312"/>
                <w:szCs w:val="32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细颗粒物（PM2.5）浓度</w:t>
            </w: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控制在市考核目标以内</w:t>
            </w:r>
          </w:p>
        </w:tc>
        <w:tc>
          <w:tcPr>
            <w:tcW w:w="1166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35微克/立方米</w:t>
            </w:r>
          </w:p>
        </w:tc>
        <w:tc>
          <w:tcPr>
            <w:tcW w:w="1005" w:type="dxa"/>
            <w:gridSpan w:val="2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-16.9</w:t>
            </w:r>
          </w:p>
        </w:tc>
        <w:tc>
          <w:tcPr>
            <w:tcW w:w="1373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达进度</w:t>
            </w:r>
          </w:p>
        </w:tc>
      </w:tr>
    </w:tbl>
    <w:p>
      <w:pPr>
        <w:spacing w:line="540" w:lineRule="exact"/>
        <w:ind w:firstLine="632" w:firstLineChars="200"/>
        <w:rPr>
          <w:rFonts w:ascii="Times New Roman" w:hAnsi="Times New Roman" w:eastAsia="方正楷体简体"/>
          <w:szCs w:val="32"/>
        </w:rPr>
      </w:pPr>
      <w:r>
        <w:rPr>
          <w:rFonts w:ascii="Times New Roman" w:hAnsi="Times New Roman" w:eastAsia="方正楷体简体"/>
          <w:szCs w:val="32"/>
        </w:rPr>
        <w:t>（</w:t>
      </w:r>
      <w:r>
        <w:rPr>
          <w:rFonts w:hint="eastAsia" w:ascii="Times New Roman" w:hAnsi="Times New Roman" w:eastAsia="方正楷体简体"/>
          <w:szCs w:val="32"/>
        </w:rPr>
        <w:t>二</w:t>
      </w:r>
      <w:r>
        <w:rPr>
          <w:rFonts w:ascii="Times New Roman" w:hAnsi="Times New Roman" w:eastAsia="方正楷体简体"/>
          <w:szCs w:val="32"/>
        </w:rPr>
        <w:t>）主要工作成效</w:t>
      </w:r>
    </w:p>
    <w:p>
      <w:pPr>
        <w:spacing w:line="540" w:lineRule="exact"/>
        <w:ind w:firstLine="632" w:firstLineChars="200"/>
        <w:rPr>
          <w:rFonts w:ascii="Times New Roman" w:hAnsi="Times New Roman" w:eastAsia="方正楷体简体"/>
          <w:b/>
          <w:szCs w:val="32"/>
        </w:rPr>
      </w:pPr>
      <w:r>
        <w:rPr>
          <w:rFonts w:ascii="Times New Roman" w:hAnsi="Times New Roman"/>
          <w:szCs w:val="32"/>
        </w:rPr>
        <w:t>列入2020年人代会计划的科技创新、产业发展、城乡建设、改革开放、生态文明、社会民生</w:t>
      </w:r>
      <w:r>
        <w:rPr>
          <w:rFonts w:hint="eastAsia" w:ascii="Times New Roman" w:hAnsi="Times New Roman"/>
          <w:szCs w:val="32"/>
        </w:rPr>
        <w:t>六</w:t>
      </w:r>
      <w:r>
        <w:rPr>
          <w:rFonts w:ascii="Times New Roman" w:hAnsi="Times New Roman"/>
          <w:szCs w:val="32"/>
        </w:rPr>
        <w:t>个方面重点工作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主要成效如下：</w:t>
      </w:r>
    </w:p>
    <w:p>
      <w:pPr>
        <w:spacing w:line="540" w:lineRule="exact"/>
        <w:ind w:firstLine="632" w:firstLineChars="200"/>
        <w:rPr>
          <w:rFonts w:ascii="方正黑体简体" w:hAnsi="Times New Roman" w:eastAsia="方正黑体简体"/>
          <w:szCs w:val="32"/>
        </w:rPr>
      </w:pPr>
      <w:r>
        <w:rPr>
          <w:rFonts w:ascii="Times New Roman" w:hAnsi="Times New Roman" w:eastAsia="方正楷体简体"/>
          <w:szCs w:val="32"/>
        </w:rPr>
        <w:t>1.</w:t>
      </w:r>
      <w:r>
        <w:rPr>
          <w:rFonts w:hint="eastAsia" w:ascii="方正楷体简体" w:hAnsi="Times New Roman" w:eastAsia="方正楷体简体"/>
          <w:szCs w:val="32"/>
        </w:rPr>
        <w:t>创新驱动活力迸发。</w:t>
      </w:r>
      <w:r>
        <w:rPr>
          <w:rFonts w:hint="eastAsia" w:ascii="方正仿宋简体" w:hAnsi="Times New Roman"/>
          <w:b/>
          <w:bCs/>
          <w:szCs w:val="32"/>
        </w:rPr>
        <w:t>载体平台提速提效。</w:t>
      </w:r>
      <w:r>
        <w:rPr>
          <w:rFonts w:ascii="Times New Roman" w:hAnsi="Times New Roman"/>
          <w:bCs/>
          <w:szCs w:val="32"/>
        </w:rPr>
        <w:t>完成高新园区</w:t>
      </w:r>
      <w:r>
        <w:rPr>
          <w:rFonts w:ascii="Times New Roman" w:hAnsi="Times New Roman"/>
          <w:szCs w:val="32"/>
        </w:rPr>
        <w:t>“1+N”去行政化改革，南京高新区六合园挂牌成立，筹建南京六合高新技术产业投资集团，并开展实体化运作；节能环保科技公共技术服务平台对外开放实验服务，科创园</w:t>
      </w:r>
      <w:r>
        <w:rPr>
          <w:rFonts w:hint="eastAsia" w:ascii="Times New Roman" w:hAnsi="Times New Roman"/>
          <w:szCs w:val="32"/>
        </w:rPr>
        <w:t>二期</w:t>
      </w:r>
      <w:r>
        <w:rPr>
          <w:rFonts w:ascii="Times New Roman" w:hAnsi="Times New Roman"/>
          <w:szCs w:val="32"/>
        </w:rPr>
        <w:t>、中南智谷等重大载体项目加速推进；总投资10.5亿元的南京协合大健康产业园开工建设；泛5G产业园、北斗研究院、质子源产业园等重大科创项目加速落地。</w:t>
      </w:r>
      <w:r>
        <w:rPr>
          <w:rFonts w:ascii="方正仿宋简体" w:hAnsi="Times New Roman"/>
          <w:b/>
          <w:bCs/>
          <w:szCs w:val="32"/>
        </w:rPr>
        <w:t>创新资源加速集聚。</w:t>
      </w:r>
      <w:r>
        <w:rPr>
          <w:rFonts w:ascii="Times New Roman" w:hAnsi="Times New Roman"/>
          <w:bCs/>
          <w:szCs w:val="32"/>
        </w:rPr>
        <w:t>精心筹办</w:t>
      </w:r>
      <w:r>
        <w:rPr>
          <w:rFonts w:ascii="Times New Roman" w:hAnsi="Times New Roman"/>
          <w:szCs w:val="32"/>
        </w:rPr>
        <w:t>2020南京创新周，成功举办5G高峰论坛暨项目签约仪式等系列专场活动16场，邀请海内外嘉宾148名，其中院士19位，签约项目50个，总投资200亿元。</w:t>
      </w:r>
      <w:r>
        <w:rPr>
          <w:rFonts w:hint="eastAsia" w:ascii="Times New Roman" w:hAnsi="Times New Roman"/>
          <w:szCs w:val="32"/>
        </w:rPr>
        <w:t>新认定</w:t>
      </w:r>
      <w:r>
        <w:rPr>
          <w:rFonts w:ascii="Times New Roman" w:hAnsi="Times New Roman"/>
          <w:szCs w:val="32"/>
        </w:rPr>
        <w:t>科技型中小企业391家，同比增长200%；申报高新技术企业180家，同比增长34%，引入区外高新技术企业2家；签约新型研发机构7家，全区16家新研机构累计引进孵化企业160家。</w:t>
      </w:r>
      <w:r>
        <w:rPr>
          <w:rFonts w:ascii="方正仿宋简体" w:hAnsi="Times New Roman"/>
          <w:b/>
          <w:bCs/>
          <w:szCs w:val="32"/>
        </w:rPr>
        <w:t>创新动力持续增强。</w:t>
      </w:r>
      <w:r>
        <w:rPr>
          <w:rFonts w:ascii="Times New Roman" w:hAnsi="Times New Roman"/>
          <w:szCs w:val="32"/>
        </w:rPr>
        <w:t>新建校企联盟3家，依托“千家百企”平台，达成产学研合作项目22项，技术合同成交额6.4亿元，完成率全市第四；新认定市级企业工程技术研究中心8个，省级众创空间2家，5家省级技术研究中心授牌；农业科技进步贡献率达70%，规上工业企业有研发活动企业数占比达54.9%，高新技术产业产值占规上工业总产值比重达57.6%；PCT专利申请4个，有效发明专利拥有量471个。</w:t>
      </w:r>
      <w:r>
        <w:rPr>
          <w:rFonts w:hint="eastAsia" w:ascii="方正仿宋简体" w:hAnsi="Times New Roman"/>
          <w:b/>
          <w:bCs/>
          <w:szCs w:val="32"/>
        </w:rPr>
        <w:t>高端人才</w:t>
      </w:r>
      <w:r>
        <w:rPr>
          <w:rFonts w:ascii="方正仿宋简体" w:hAnsi="Times New Roman"/>
          <w:b/>
          <w:bCs/>
          <w:szCs w:val="32"/>
        </w:rPr>
        <w:t>群贤毕至。</w:t>
      </w:r>
      <w:r>
        <w:rPr>
          <w:rFonts w:ascii="Times New Roman" w:hAnsi="Times New Roman"/>
          <w:szCs w:val="32"/>
        </w:rPr>
        <w:t>新引入院士级专家2名，新增高技能人才150人，引进留学回国人员37人；入选省乡土人才22人，区级高层次创业人才申报首次突破200人；完成开发区科创园一期8000平方米人才公寓筹建。</w:t>
      </w:r>
    </w:p>
    <w:p>
      <w:pPr>
        <w:spacing w:line="540" w:lineRule="exact"/>
        <w:ind w:firstLine="632" w:firstLineChars="200"/>
        <w:rPr>
          <w:rFonts w:ascii="方正黑体简体" w:hAnsi="Times New Roman" w:eastAsia="方正黑体简体"/>
          <w:szCs w:val="32"/>
        </w:rPr>
      </w:pPr>
      <w:r>
        <w:rPr>
          <w:rFonts w:ascii="Times New Roman" w:hAnsi="Times New Roman" w:eastAsia="方正楷体简体"/>
          <w:szCs w:val="32"/>
        </w:rPr>
        <w:t>2.</w:t>
      </w:r>
      <w:r>
        <w:rPr>
          <w:rFonts w:hint="eastAsia" w:ascii="方正楷体简体" w:hAnsi="Times New Roman" w:eastAsia="方正楷体简体"/>
          <w:szCs w:val="32"/>
        </w:rPr>
        <w:t>产业转型动力强劲。</w:t>
      </w:r>
      <w:r>
        <w:rPr>
          <w:rFonts w:ascii="方正仿宋简体" w:hAnsi="Times New Roman"/>
          <w:b/>
          <w:bCs/>
          <w:szCs w:val="32"/>
        </w:rPr>
        <w:t>项目推进扎实有力。</w:t>
      </w:r>
      <w:r>
        <w:rPr>
          <w:rFonts w:ascii="Times New Roman" w:hAnsi="Times New Roman"/>
          <w:kern w:val="32"/>
          <w:szCs w:val="32"/>
        </w:rPr>
        <w:t>上半年</w:t>
      </w:r>
      <w:r>
        <w:rPr>
          <w:rFonts w:ascii="Times New Roman" w:hAnsi="Times New Roman"/>
          <w:szCs w:val="32"/>
        </w:rPr>
        <w:t>14个市重大实施项目实施13个，实施率92.9%，完成投资31.23亿元，占年度计划的52.5%；115个区重点项目实施94个，实施率81.7%，完成投资95.5亿元，占年度计划的50.8%；17</w:t>
      </w:r>
      <w:r>
        <w:rPr>
          <w:rFonts w:ascii="Times New Roman" w:hAnsi="方正仿宋简体"/>
          <w:szCs w:val="32"/>
        </w:rPr>
        <w:t>个列入市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方正仿宋简体"/>
          <w:szCs w:val="32"/>
        </w:rPr>
        <w:t>双百工程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方正仿宋简体"/>
          <w:szCs w:val="32"/>
        </w:rPr>
        <w:t>项目</w:t>
      </w:r>
      <w:r>
        <w:rPr>
          <w:rFonts w:ascii="Times New Roman" w:hAnsi="Times New Roman"/>
          <w:szCs w:val="32"/>
        </w:rPr>
        <w:t>已全部实施</w:t>
      </w:r>
      <w:r>
        <w:rPr>
          <w:rFonts w:ascii="Times New Roman" w:hAnsi="方正仿宋简体"/>
          <w:szCs w:val="32"/>
        </w:rPr>
        <w:t>；</w:t>
      </w:r>
      <w:r>
        <w:rPr>
          <w:rFonts w:ascii="Times New Roman" w:hAnsi="Times New Roman"/>
          <w:szCs w:val="32"/>
        </w:rPr>
        <w:t>5个市级新基建项目已全部开工，完成投资占年度任务的50.1%，上半年完成5G基站建设3</w:t>
      </w:r>
      <w:r>
        <w:rPr>
          <w:rFonts w:hint="eastAsia" w:ascii="Times New Roman" w:hAnsi="Times New Roman"/>
          <w:szCs w:val="32"/>
        </w:rPr>
        <w:t>84</w:t>
      </w:r>
      <w:r>
        <w:rPr>
          <w:rFonts w:ascii="Times New Roman" w:hAnsi="Times New Roman"/>
          <w:szCs w:val="32"/>
        </w:rPr>
        <w:t>座。</w:t>
      </w:r>
      <w:r>
        <w:rPr>
          <w:rFonts w:ascii="方正仿宋简体" w:hAnsi="Times New Roman"/>
          <w:b/>
          <w:bCs/>
          <w:szCs w:val="32"/>
        </w:rPr>
        <w:t>新产业培育步伐加快。</w:t>
      </w:r>
      <w:r>
        <w:rPr>
          <w:rFonts w:ascii="Times New Roman" w:hAnsi="Times New Roman"/>
          <w:szCs w:val="32"/>
        </w:rPr>
        <w:t>新增瞪羚企业7家，实现历史性突破，瞪羚企业总量达11家；协合大健康产业园、车创高端智能网联汽车等重点项目开工建设，全区新产业累计完成主营业务收入24.7亿元，其中，高端软件和信息服务、新医药与新健康、智能网联汽车和新能源汽车等三大产业收入均实现“双过半”。</w:t>
      </w:r>
      <w:r>
        <w:rPr>
          <w:rFonts w:hint="eastAsia" w:ascii="方正仿宋简体" w:hAnsi="Times New Roman"/>
          <w:b/>
          <w:bCs/>
          <w:color w:val="000000" w:themeColor="text1"/>
          <w:szCs w:val="32"/>
        </w:rPr>
        <w:t>新消费氛围日趋浓厚</w:t>
      </w:r>
      <w:r>
        <w:rPr>
          <w:rFonts w:ascii="方正仿宋简体" w:hAnsi="Times New Roman"/>
          <w:b/>
          <w:bCs/>
          <w:color w:val="000000" w:themeColor="text1"/>
          <w:szCs w:val="32"/>
        </w:rPr>
        <w:t>。</w:t>
      </w:r>
      <w:r>
        <w:rPr>
          <w:rFonts w:ascii="Times New Roman" w:hAnsi="Times New Roman"/>
          <w:szCs w:val="32"/>
        </w:rPr>
        <w:t>消费市场</w:t>
      </w:r>
      <w:r>
        <w:rPr>
          <w:rFonts w:hint="eastAsia" w:ascii="Times New Roman" w:hAnsi="Times New Roman"/>
          <w:szCs w:val="32"/>
        </w:rPr>
        <w:t>逐步</w:t>
      </w:r>
      <w:r>
        <w:rPr>
          <w:rFonts w:ascii="Times New Roman" w:hAnsi="Times New Roman"/>
          <w:szCs w:val="32"/>
        </w:rPr>
        <w:t>回暖，社零增速不断回升，池杉湖荷花文化旅游节、夜游经济主题论坛、“茉莉六合”直播创意周等活动成功举办，限上社零完成29.5亿元，同比增长6.5%。文旅市场活力复苏，发放价值1000万</w:t>
      </w:r>
      <w:r>
        <w:rPr>
          <w:rFonts w:hint="eastAsia" w:ascii="Times New Roman" w:hAnsi="Times New Roman"/>
          <w:szCs w:val="32"/>
        </w:rPr>
        <w:t>元</w:t>
      </w:r>
      <w:r>
        <w:rPr>
          <w:rFonts w:ascii="Times New Roman" w:hAnsi="Times New Roman"/>
          <w:szCs w:val="32"/>
        </w:rPr>
        <w:t>全域旅游惠民卡；全区旅游接待</w:t>
      </w:r>
      <w:r>
        <w:rPr>
          <w:rFonts w:hint="eastAsia" w:ascii="Times New Roman" w:hAnsi="Times New Roman"/>
          <w:szCs w:val="32"/>
        </w:rPr>
        <w:t>游客</w:t>
      </w:r>
      <w:r>
        <w:rPr>
          <w:rFonts w:ascii="Times New Roman" w:hAnsi="Times New Roman"/>
          <w:szCs w:val="32"/>
        </w:rPr>
        <w:t>558.97万人次，旅游综合收入56.23亿元。</w:t>
      </w:r>
      <w:r>
        <w:rPr>
          <w:rFonts w:ascii="方正仿宋简体" w:hAnsi="Times New Roman"/>
          <w:b/>
          <w:bCs/>
          <w:szCs w:val="32"/>
        </w:rPr>
        <w:t>都市型农业特色彰显。</w:t>
      </w:r>
      <w:r>
        <w:rPr>
          <w:rFonts w:ascii="Times New Roman" w:hAnsi="方正仿宋简体"/>
          <w:szCs w:val="32"/>
        </w:rPr>
        <w:t>申报省级休闲农业精品游路线</w:t>
      </w:r>
      <w:r>
        <w:rPr>
          <w:rFonts w:hint="eastAsia" w:ascii="Times New Roman" w:hAnsi="方正仿宋简体"/>
          <w:szCs w:val="32"/>
        </w:rPr>
        <w:t>8</w:t>
      </w:r>
      <w:r>
        <w:rPr>
          <w:rFonts w:ascii="Times New Roman" w:hAnsi="方正仿宋简体"/>
          <w:szCs w:val="32"/>
        </w:rPr>
        <w:t>条，上半年休闲农业接待游客突破</w:t>
      </w:r>
      <w:r>
        <w:rPr>
          <w:rFonts w:ascii="Times New Roman" w:hAnsi="Times New Roman"/>
          <w:szCs w:val="32"/>
        </w:rPr>
        <w:t>254</w:t>
      </w:r>
      <w:r>
        <w:rPr>
          <w:rFonts w:ascii="Times New Roman" w:hAnsi="方正仿宋简体"/>
          <w:szCs w:val="32"/>
        </w:rPr>
        <w:t>万人次，综合收入约</w:t>
      </w:r>
      <w:r>
        <w:rPr>
          <w:rFonts w:ascii="Times New Roman" w:hAnsi="Times New Roman"/>
          <w:szCs w:val="32"/>
        </w:rPr>
        <w:t>9.3</w:t>
      </w:r>
      <w:r>
        <w:rPr>
          <w:rFonts w:ascii="Times New Roman" w:hAnsi="方正仿宋简体"/>
          <w:szCs w:val="32"/>
        </w:rPr>
        <w:t>亿元；</w:t>
      </w:r>
      <w:r>
        <w:rPr>
          <w:rFonts w:ascii="Times New Roman" w:hAnsi="Times New Roman"/>
          <w:szCs w:val="32"/>
        </w:rPr>
        <w:t>高标准农田建设项目已基本完成，耕地质量提升片区项目完成80%，获评省级耕地保护激励县（区）；新增设施农业面积1</w:t>
      </w:r>
      <w:r>
        <w:rPr>
          <w:rFonts w:hint="eastAsia" w:ascii="Times New Roman" w:hAnsi="Times New Roman"/>
          <w:szCs w:val="32"/>
        </w:rPr>
        <w:t>8</w:t>
      </w:r>
      <w:r>
        <w:rPr>
          <w:rFonts w:ascii="Times New Roman" w:hAnsi="Times New Roman"/>
          <w:szCs w:val="32"/>
        </w:rPr>
        <w:t>00亩，新增高效特色经济林果基地4个。全市首家农业电商直播基地揭牌运营，农业电商收入增长</w:t>
      </w:r>
      <w:r>
        <w:rPr>
          <w:rFonts w:hint="eastAsia" w:ascii="Times New Roman" w:hAnsi="Times New Roman"/>
          <w:szCs w:val="32"/>
        </w:rPr>
        <w:t>9.3</w:t>
      </w:r>
      <w:r>
        <w:rPr>
          <w:rFonts w:ascii="Times New Roman" w:hAnsi="Times New Roman"/>
          <w:szCs w:val="32"/>
        </w:rPr>
        <w:t>%；严格落实生猪保供任务，生猪存栏23920头，出栏2908头；抓牢粮食安全，区“优质粮食工程”顺利通过省市验收，粮食安全责任制落实工作获省政府通报表扬。</w:t>
      </w:r>
      <w:r>
        <w:rPr>
          <w:rFonts w:ascii="方正仿宋简体" w:hAnsi="Times New Roman"/>
          <w:b/>
          <w:bCs/>
          <w:szCs w:val="32"/>
        </w:rPr>
        <w:t>新型建筑业提质增效。</w:t>
      </w:r>
      <w:r>
        <w:rPr>
          <w:rFonts w:ascii="Times New Roman" w:hAnsi="Times New Roman"/>
          <w:szCs w:val="32"/>
        </w:rPr>
        <w:t>建筑业产值同比增长1.2%，实现正增长；13个单体工程获得“金陵杯”，完成一级资质晋升企业2家，全区资质以上建筑业企业335家；装配式建筑开工占新建建筑面积比例达30%。</w:t>
      </w:r>
    </w:p>
    <w:p>
      <w:pPr>
        <w:spacing w:line="540" w:lineRule="exact"/>
        <w:ind w:firstLine="632" w:firstLineChars="200"/>
        <w:rPr>
          <w:rFonts w:ascii="方正黑体简体" w:hAnsi="Times New Roman" w:eastAsia="方正黑体简体"/>
          <w:szCs w:val="32"/>
        </w:rPr>
      </w:pPr>
      <w:r>
        <w:rPr>
          <w:rFonts w:ascii="Times New Roman" w:hAnsi="Times New Roman" w:eastAsia="方正楷体简体"/>
          <w:szCs w:val="32"/>
        </w:rPr>
        <w:t>3.</w:t>
      </w:r>
      <w:r>
        <w:rPr>
          <w:rFonts w:hint="eastAsia" w:ascii="方正楷体简体" w:hAnsi="Times New Roman" w:eastAsia="方正楷体简体"/>
          <w:szCs w:val="32"/>
        </w:rPr>
        <w:t>改革开放互促共进。</w:t>
      </w:r>
      <w:r>
        <w:rPr>
          <w:rFonts w:ascii="方正仿宋简体" w:hAnsi="Times New Roman"/>
          <w:b/>
          <w:bCs/>
          <w:szCs w:val="32"/>
        </w:rPr>
        <w:t>招商引资取得突破。</w:t>
      </w:r>
      <w:r>
        <w:rPr>
          <w:rFonts w:ascii="Times New Roman" w:hAnsi="Times New Roman"/>
          <w:szCs w:val="32"/>
        </w:rPr>
        <w:t>全面推行“不见面”云招商机制，推动区招商中心及平台公司实体化运作，做深做实招商工作。首次荣获全市招商擂台赛目标任务进度“优胜单位”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举行“四新”产业招商发布会暨重点项目签约发照仪式，新能源动力电池、工业储能电池、新一代信息技术、国</w:t>
      </w:r>
      <w:r>
        <w:rPr>
          <w:rFonts w:hint="eastAsia" w:ascii="Times New Roman" w:hAnsi="Times New Roman"/>
          <w:szCs w:val="32"/>
        </w:rPr>
        <w:t>际</w:t>
      </w:r>
      <w:r>
        <w:rPr>
          <w:rFonts w:ascii="Times New Roman" w:hAnsi="Times New Roman"/>
          <w:szCs w:val="32"/>
        </w:rPr>
        <w:t>电力公司中国区总部等4个“百亿级”项目签约落地；全区上半年实际利用内资、实际使用外资、签约项目投资总额完成进度分别达73.3%、84.2%、89.3%，亿元以上签约项目数完成77个。</w:t>
      </w:r>
      <w:r>
        <w:rPr>
          <w:rFonts w:ascii="方正仿宋简体" w:hAnsi="Times New Roman"/>
          <w:b/>
          <w:bCs/>
          <w:szCs w:val="32"/>
        </w:rPr>
        <w:t>重点改革深入推进。</w:t>
      </w:r>
      <w:r>
        <w:rPr>
          <w:rFonts w:ascii="Times New Roman" w:hAnsi="Times New Roman"/>
          <w:szCs w:val="32"/>
        </w:rPr>
        <w:t>经开区“去行政化”改革全面完成，新材料产业园纳入经开区统一管理，“一区多园”格局全面拉开；加快证照分离改革，上半年新增市场主体6786家；</w:t>
      </w:r>
      <w:r>
        <w:rPr>
          <w:rFonts w:ascii="Times New Roman" w:hAnsi="Times New Roman"/>
          <w:kern w:val="0"/>
          <w:szCs w:val="32"/>
        </w:rPr>
        <w:t>273个</w:t>
      </w:r>
      <w:r>
        <w:rPr>
          <w:rFonts w:ascii="Times New Roman" w:hAnsi="Times New Roman"/>
          <w:szCs w:val="32"/>
        </w:rPr>
        <w:t>公益事业</w:t>
      </w:r>
      <w:r>
        <w:rPr>
          <w:rFonts w:ascii="Times New Roman" w:hAnsi="Times New Roman"/>
          <w:kern w:val="0"/>
          <w:szCs w:val="32"/>
        </w:rPr>
        <w:t>“一事一议”财政奖补项目已开工180个，项目开工率65.9%；</w:t>
      </w:r>
      <w:r>
        <w:rPr>
          <w:rFonts w:ascii="Times New Roman" w:hAnsi="Times New Roman"/>
          <w:szCs w:val="32"/>
        </w:rPr>
        <w:t>开展农村土地承包经营权确权登记颁证工作“回头看”，持续深化农村集体产权制度改革。</w:t>
      </w:r>
      <w:r>
        <w:rPr>
          <w:rFonts w:ascii="方正仿宋简体" w:hAnsi="Times New Roman"/>
          <w:b/>
          <w:bCs/>
          <w:szCs w:val="32"/>
        </w:rPr>
        <w:t>营商环境</w:t>
      </w:r>
      <w:r>
        <w:rPr>
          <w:rFonts w:hint="eastAsia" w:ascii="方正仿宋简体" w:hAnsi="Times New Roman"/>
          <w:b/>
          <w:bCs/>
          <w:szCs w:val="32"/>
        </w:rPr>
        <w:t>不断</w:t>
      </w:r>
      <w:r>
        <w:rPr>
          <w:rFonts w:ascii="方正仿宋简体" w:hAnsi="Times New Roman"/>
          <w:b/>
          <w:bCs/>
          <w:szCs w:val="32"/>
        </w:rPr>
        <w:t>优化。</w:t>
      </w:r>
      <w:r>
        <w:rPr>
          <w:rFonts w:ascii="Times New Roman" w:hAnsi="Times New Roman"/>
          <w:szCs w:val="32"/>
        </w:rPr>
        <w:t>全面推进落实《南京市优化营商环境政策新100条》，创新出台“企业服务”专项考核办法；</w:t>
      </w:r>
      <w:r>
        <w:rPr>
          <w:rFonts w:ascii="Times New Roman" w:hAnsi="方正仿宋简体"/>
          <w:szCs w:val="32"/>
          <w:lang w:val="zh-CN"/>
        </w:rPr>
        <w:t>精简项目审批流程，保持</w:t>
      </w:r>
      <w:r>
        <w:rPr>
          <w:rFonts w:ascii="Times New Roman" w:hAnsi="Times New Roman"/>
          <w:szCs w:val="32"/>
          <w:lang w:val="zh-CN"/>
        </w:rPr>
        <w:t>“</w:t>
      </w:r>
      <w:r>
        <w:rPr>
          <w:rFonts w:ascii="Times New Roman" w:hAnsi="方正仿宋简体"/>
          <w:szCs w:val="32"/>
          <w:lang w:val="zh-CN"/>
        </w:rPr>
        <w:t>不见面</w:t>
      </w:r>
      <w:r>
        <w:rPr>
          <w:rFonts w:ascii="Times New Roman" w:hAnsi="Times New Roman"/>
          <w:szCs w:val="32"/>
          <w:lang w:val="zh-CN"/>
        </w:rPr>
        <w:t>”</w:t>
      </w:r>
      <w:r>
        <w:rPr>
          <w:rFonts w:ascii="Times New Roman" w:hAnsi="方正仿宋简体"/>
          <w:szCs w:val="32"/>
          <w:lang w:val="zh-CN"/>
        </w:rPr>
        <w:t>审批</w:t>
      </w:r>
      <w:r>
        <w:rPr>
          <w:rFonts w:ascii="Times New Roman" w:hAnsi="Times New Roman"/>
          <w:szCs w:val="32"/>
          <w:lang w:val="zh-CN"/>
        </w:rPr>
        <w:t>100%</w:t>
      </w:r>
      <w:r>
        <w:rPr>
          <w:rFonts w:ascii="Times New Roman" w:hAnsi="方正仿宋简体"/>
          <w:szCs w:val="32"/>
          <w:lang w:val="zh-CN"/>
        </w:rPr>
        <w:t>覆盖率，</w:t>
      </w:r>
      <w:r>
        <w:rPr>
          <w:rFonts w:ascii="Times New Roman" w:hAnsi="Times New Roman"/>
          <w:szCs w:val="32"/>
        </w:rPr>
        <w:t>为重点防疫物资保供企业开辟绿色审批通道，喜马拉雅一个月之内投产，《焦点访谈》、《南京日报》、“南京广播电视台”点赞“六合速度”；“招拍挂”土地、商品房登记实现交地（房）即发证；在市民中心设立“企业服务专区”，构建“111”法治服务体系，全区12345按时办结率100%，综合满意率96%。</w:t>
      </w:r>
      <w:r>
        <w:rPr>
          <w:rFonts w:ascii="方正仿宋简体" w:hAnsi="Times New Roman"/>
          <w:b/>
          <w:bCs/>
          <w:szCs w:val="32"/>
        </w:rPr>
        <w:t>惠企政策落实有力。</w:t>
      </w:r>
      <w:r>
        <w:rPr>
          <w:rFonts w:ascii="Times New Roman" w:hAnsi="Times New Roman"/>
          <w:szCs w:val="32"/>
        </w:rPr>
        <w:t>建立企业派驻联络员制度，指导企业稳步复工复产，</w:t>
      </w:r>
      <w:r>
        <w:rPr>
          <w:rFonts w:ascii="Times New Roman" w:hAnsi="Times New Roman"/>
          <w:spacing w:val="8"/>
          <w:szCs w:val="32"/>
        </w:rPr>
        <w:t>用好用足省、市稳企政策和区“稳企</w:t>
      </w:r>
      <w:r>
        <w:rPr>
          <w:rFonts w:hint="eastAsia" w:ascii="Times New Roman" w:hAnsi="Times New Roman"/>
          <w:spacing w:val="8"/>
          <w:szCs w:val="32"/>
        </w:rPr>
        <w:t>4</w:t>
      </w:r>
      <w:r>
        <w:rPr>
          <w:rFonts w:ascii="Times New Roman" w:hAnsi="Times New Roman"/>
          <w:spacing w:val="8"/>
          <w:szCs w:val="32"/>
        </w:rPr>
        <w:t>条”，</w:t>
      </w:r>
      <w:r>
        <w:rPr>
          <w:rFonts w:ascii="Times New Roman" w:hAnsi="Times New Roman"/>
          <w:szCs w:val="32"/>
        </w:rPr>
        <w:t>对企业给予分类支持；</w:t>
      </w:r>
      <w:r>
        <w:rPr>
          <w:rFonts w:ascii="Times New Roman" w:hAnsi="Times New Roman"/>
          <w:spacing w:val="8"/>
          <w:szCs w:val="32"/>
        </w:rPr>
        <w:t>举办“四新”行动政银企对接会，签订2262亿元资金支持战略合作协议，落实76亿元对企授信额度；</w:t>
      </w:r>
      <w:r>
        <w:rPr>
          <w:rFonts w:ascii="Times New Roman" w:hAnsi="Times New Roman"/>
          <w:szCs w:val="32"/>
        </w:rPr>
        <w:t>5家企业入选省疫情防控保障目录，可享受再贷款利率优惠；发放瞪羚企业奖补170万元。</w:t>
      </w:r>
    </w:p>
    <w:p>
      <w:pPr>
        <w:spacing w:line="540" w:lineRule="exact"/>
        <w:ind w:firstLine="632" w:firstLineChars="200"/>
        <w:rPr>
          <w:rFonts w:ascii="方正黑体简体" w:hAnsi="Times New Roman" w:eastAsia="方正黑体简体"/>
          <w:szCs w:val="32"/>
        </w:rPr>
      </w:pPr>
      <w:r>
        <w:rPr>
          <w:rFonts w:ascii="Times New Roman" w:hAnsi="Times New Roman" w:eastAsia="方正楷体简体"/>
          <w:szCs w:val="32"/>
        </w:rPr>
        <w:t>4.</w:t>
      </w:r>
      <w:r>
        <w:rPr>
          <w:rFonts w:hint="eastAsia" w:ascii="方正楷体简体" w:hAnsi="Times New Roman" w:eastAsia="方正楷体简体"/>
          <w:szCs w:val="32"/>
        </w:rPr>
        <w:t>城乡面貌显著改善。</w:t>
      </w:r>
      <w:r>
        <w:rPr>
          <w:rFonts w:ascii="方正仿宋简体" w:hAnsi="Times New Roman"/>
          <w:b/>
          <w:bCs/>
          <w:szCs w:val="32"/>
        </w:rPr>
        <w:t>规划布局更加合理。</w:t>
      </w:r>
      <w:r>
        <w:rPr>
          <w:rFonts w:ascii="Times New Roman" w:hAnsi="Times New Roman"/>
          <w:szCs w:val="32"/>
        </w:rPr>
        <w:t>全区“十四五”国民经济和社会发展规划纲要编制进展顺利；国土空间规划体系加快建立，我区获评省国土资源节约集约利用模范区。</w:t>
      </w:r>
      <w:r>
        <w:rPr>
          <w:rFonts w:hint="eastAsia" w:ascii="方正仿宋简体" w:hAnsi="Times New Roman"/>
          <w:b/>
          <w:bCs/>
          <w:szCs w:val="32"/>
        </w:rPr>
        <w:t>城乡</w:t>
      </w:r>
      <w:r>
        <w:rPr>
          <w:rFonts w:ascii="方正仿宋简体" w:hAnsi="Times New Roman"/>
          <w:b/>
          <w:bCs/>
          <w:szCs w:val="32"/>
        </w:rPr>
        <w:t>建管更加精细。</w:t>
      </w:r>
      <w:r>
        <w:rPr>
          <w:rFonts w:ascii="Times New Roman" w:hAnsi="Times New Roman"/>
          <w:szCs w:val="32"/>
        </w:rPr>
        <w:t>高标准高起点开发建设龙袍新城，统筹推进30多个专项规划编制、投融资事项对接、开发模式论证启动、周边整体联动研究，同步开展项目招引和搬迁安置工作，用35天时间完成产业片区4.2平方公里搬迁任务，跑出“六合速度”。3个由我区直接上报列入市平台进程监测的新都市项目，完成投资进度61.3%；区级143个新都市项目已开工106个，开工率74.1%，完成年度投资59.3亿元；147个年度城建计划项目有序推进，完成年度投资41.9亿元。</w:t>
      </w:r>
      <w:r>
        <w:rPr>
          <w:rFonts w:ascii="Times New Roman" w:hAnsi="方正仿宋简体"/>
          <w:szCs w:val="32"/>
        </w:rPr>
        <w:t>南京绕越高速新篁互通连接线等工程建设有序，龙津桥改造工程已完成；</w:t>
      </w:r>
      <w:r>
        <w:rPr>
          <w:rFonts w:ascii="Times New Roman" w:hAnsi="Times New Roman"/>
          <w:szCs w:val="32"/>
        </w:rPr>
        <w:t>龙池路西侧项目13万平方米已完成全部住宅签约工作；5.8万平方米清零攻坚任务顺利完成，有效释放发展空间1300多亩；完成地下空间开发利用15万平方米。道路保洁机械化作业率保持95%以上；海绵城市建设项目开工率达78.8%；滁河左岸绿道建设完工；数字化城管平台结案率达100%</w:t>
      </w:r>
      <w:r>
        <w:rPr>
          <w:rFonts w:hint="eastAsia" w:ascii="Times New Roman" w:hAnsi="Times New Roman"/>
          <w:szCs w:val="32"/>
        </w:rPr>
        <w:t>。</w:t>
      </w:r>
      <w:r>
        <w:rPr>
          <w:rFonts w:ascii="方正仿宋简体" w:hAnsi="Times New Roman"/>
          <w:b/>
          <w:bCs/>
          <w:szCs w:val="32"/>
        </w:rPr>
        <w:t>服务配套更加健全。</w:t>
      </w:r>
      <w:r>
        <w:rPr>
          <w:rFonts w:ascii="Times New Roman" w:hAnsi="Times New Roman"/>
          <w:szCs w:val="32"/>
        </w:rPr>
        <w:t>完成12条背街小巷整治，城区路灯亮灯率达98%以上；</w:t>
      </w:r>
      <w:bookmarkStart w:id="0" w:name="_Hlk33312145"/>
      <w:r>
        <w:rPr>
          <w:rFonts w:ascii="Times New Roman" w:hAnsi="Times New Roman"/>
          <w:szCs w:val="32"/>
        </w:rPr>
        <w:t>智慧停车信息系统</w:t>
      </w:r>
      <w:bookmarkEnd w:id="0"/>
      <w:r>
        <w:rPr>
          <w:rFonts w:ascii="Times New Roman" w:hAnsi="Times New Roman"/>
          <w:szCs w:val="32"/>
        </w:rPr>
        <w:t>进一步完善，置换共享单车3000余辆</w:t>
      </w:r>
      <w:r>
        <w:rPr>
          <w:rFonts w:hint="eastAsia" w:ascii="Times New Roman" w:hAnsi="Times New Roman"/>
          <w:szCs w:val="32"/>
        </w:rPr>
        <w:t>；</w:t>
      </w:r>
      <w:r>
        <w:rPr>
          <w:rFonts w:ascii="Times New Roman" w:hAnsi="Times New Roman"/>
          <w:szCs w:val="32"/>
        </w:rPr>
        <w:t>申报A级旅游厕所15座；实施主城区供水管网改造3.6公里，竹镇、金牛湖片区供水改造有序推进；建设燃气中低压管网18.41公里；农贸市场提档升级圆满收官。</w:t>
      </w:r>
      <w:r>
        <w:rPr>
          <w:rFonts w:ascii="方正仿宋简体" w:hAnsi="Times New Roman"/>
          <w:b/>
          <w:bCs/>
          <w:szCs w:val="32"/>
        </w:rPr>
        <w:t>人居环境</w:t>
      </w:r>
      <w:r>
        <w:rPr>
          <w:rFonts w:hint="eastAsia" w:ascii="方正仿宋简体" w:hAnsi="Times New Roman"/>
          <w:b/>
          <w:bCs/>
          <w:szCs w:val="32"/>
        </w:rPr>
        <w:t>更加优美</w:t>
      </w:r>
      <w:r>
        <w:rPr>
          <w:rFonts w:ascii="方正仿宋简体" w:hAnsi="Times New Roman"/>
          <w:b/>
          <w:bCs/>
          <w:szCs w:val="32"/>
        </w:rPr>
        <w:t>。</w:t>
      </w:r>
      <w:r>
        <w:rPr>
          <w:rFonts w:ascii="Times New Roman" w:hAnsi="Times New Roman"/>
          <w:szCs w:val="32"/>
        </w:rPr>
        <w:t>加快10个整村推进示范村、140个美丽乡村宜居村建设；河道疏浚425万方，建成3座重点泵站、4座重点塘坝，滁河防洪治理完善工程红山窑闸下26公里堤防整治全部完成；</w:t>
      </w:r>
      <w:r>
        <w:rPr>
          <w:rFonts w:ascii="Times New Roman" w:hAnsi="方正仿宋简体"/>
          <w:szCs w:val="32"/>
        </w:rPr>
        <w:t>完成农路提档升级</w:t>
      </w:r>
      <w:r>
        <w:rPr>
          <w:rFonts w:hint="eastAsia" w:ascii="Times New Roman" w:hAnsi="Times New Roman"/>
          <w:szCs w:val="32"/>
        </w:rPr>
        <w:t>39</w:t>
      </w:r>
      <w:r>
        <w:rPr>
          <w:rFonts w:ascii="Times New Roman" w:hAnsi="方正仿宋简体"/>
          <w:szCs w:val="32"/>
        </w:rPr>
        <w:t>公里、农路绿化提升</w:t>
      </w:r>
      <w:r>
        <w:rPr>
          <w:rFonts w:ascii="Times New Roman" w:hAnsi="Times New Roman"/>
          <w:szCs w:val="32"/>
        </w:rPr>
        <w:t>80</w:t>
      </w:r>
      <w:r>
        <w:rPr>
          <w:rFonts w:ascii="Times New Roman" w:hAnsi="方正仿宋简体"/>
          <w:szCs w:val="32"/>
        </w:rPr>
        <w:t>公里</w:t>
      </w:r>
      <w:r>
        <w:rPr>
          <w:rFonts w:hint="eastAsia" w:ascii="Times New Roman" w:hAnsi="方正仿宋简体"/>
          <w:szCs w:val="32"/>
        </w:rPr>
        <w:t>，</w:t>
      </w:r>
      <w:r>
        <w:rPr>
          <w:rFonts w:ascii="Times New Roman" w:hAnsi="Times New Roman"/>
          <w:szCs w:val="32"/>
        </w:rPr>
        <w:t>我区成功创建省级“四好农村路”示范区</w:t>
      </w:r>
      <w:r>
        <w:rPr>
          <w:rFonts w:hint="eastAsia" w:ascii="Times New Roman" w:hAnsi="Times New Roman"/>
          <w:szCs w:val="32"/>
        </w:rPr>
        <w:t>；</w:t>
      </w:r>
      <w:r>
        <w:rPr>
          <w:rFonts w:ascii="Times New Roman" w:hAnsi="Times New Roman"/>
          <w:szCs w:val="32"/>
        </w:rPr>
        <w:t>3个社区获评“国家森林乡村”，金</w:t>
      </w:r>
      <w:r>
        <w:rPr>
          <w:rFonts w:ascii="Times New Roman" w:hAnsi="Times New Roman"/>
          <w:bCs/>
          <w:szCs w:val="32"/>
        </w:rPr>
        <w:t>牛湖八百桥社区入选省级“美丽家园”示范点；</w:t>
      </w:r>
      <w:r>
        <w:rPr>
          <w:rFonts w:ascii="Times New Roman" w:hAnsi="Times New Roman"/>
          <w:szCs w:val="32"/>
        </w:rPr>
        <w:t>建立无害化卫生户厕长效管护工作机制，实现自然村垃圾分类全覆盖。</w:t>
      </w:r>
    </w:p>
    <w:p>
      <w:pPr>
        <w:spacing w:line="540" w:lineRule="exact"/>
        <w:ind w:firstLine="632" w:firstLineChars="200"/>
        <w:rPr>
          <w:rFonts w:ascii="方正黑体简体" w:hAnsi="Times New Roman" w:eastAsia="方正黑体简体"/>
          <w:szCs w:val="32"/>
        </w:rPr>
      </w:pPr>
      <w:r>
        <w:rPr>
          <w:rFonts w:hint="eastAsia" w:ascii="Times New Roman" w:hAnsi="Times New Roman" w:eastAsia="方正楷体简体"/>
          <w:szCs w:val="32"/>
        </w:rPr>
        <w:t>5</w:t>
      </w:r>
      <w:r>
        <w:rPr>
          <w:rFonts w:ascii="Times New Roman" w:hAnsi="Times New Roman" w:eastAsia="方正楷体简体"/>
          <w:szCs w:val="32"/>
        </w:rPr>
        <w:t>.</w:t>
      </w:r>
      <w:r>
        <w:rPr>
          <w:rFonts w:hint="eastAsia" w:ascii="方正楷体简体" w:hAnsi="Times New Roman" w:eastAsia="方正楷体简体"/>
          <w:szCs w:val="32"/>
        </w:rPr>
        <w:t>生态建设卓有成效。</w:t>
      </w:r>
      <w:r>
        <w:rPr>
          <w:rFonts w:ascii="方正仿宋简体" w:hAnsi="Times New Roman"/>
          <w:b/>
          <w:bCs/>
          <w:szCs w:val="32"/>
        </w:rPr>
        <w:t>环境质量持续优良。</w:t>
      </w:r>
      <w:r>
        <w:rPr>
          <w:rFonts w:ascii="Times New Roman" w:hAnsi="Times New Roman"/>
          <w:szCs w:val="32"/>
        </w:rPr>
        <w:t>空气质量优良率84.1%，同比上升9个百分点，PM</w:t>
      </w:r>
      <w:r>
        <w:rPr>
          <w:rFonts w:ascii="Times New Roman" w:hAnsi="Times New Roman"/>
          <w:szCs w:val="32"/>
          <w:vertAlign w:val="subscript"/>
        </w:rPr>
        <w:t>2.5</w:t>
      </w:r>
      <w:r>
        <w:rPr>
          <w:rFonts w:ascii="Times New Roman" w:hAnsi="Times New Roman"/>
          <w:szCs w:val="32"/>
        </w:rPr>
        <w:t>浓度均值较去年同期下降16.9%；地表水环境质量全省第三，</w:t>
      </w:r>
      <w:r>
        <w:rPr>
          <w:rFonts w:hint="eastAsia" w:ascii="Times New Roman" w:hAnsi="Times New Roman"/>
          <w:szCs w:val="32"/>
        </w:rPr>
        <w:t>国省考断面水质稳定达标</w:t>
      </w:r>
      <w:r>
        <w:rPr>
          <w:rFonts w:ascii="Times New Roman" w:hAnsi="Times New Roman"/>
          <w:szCs w:val="32"/>
        </w:rPr>
        <w:t>，乡镇集中式饮用水水源地水质达标率100%，创成省级生态文明示范区。全面推动长江经济带沿线生态保护，4个列入市“百项提升工程”项目按序时推进，完成长江岸线造林绿化600亩；新增成片造林1.8万亩，建设“三化”示范基地2个、绿美乡村6个，新增绿地面积650亩，建成区绿地率达38.4%。</w:t>
      </w:r>
      <w:r>
        <w:rPr>
          <w:rFonts w:ascii="方正仿宋简体" w:hAnsi="Times New Roman"/>
          <w:b/>
          <w:bCs/>
          <w:szCs w:val="32"/>
        </w:rPr>
        <w:t>污染防治成效显著。</w:t>
      </w:r>
      <w:r>
        <w:rPr>
          <w:rFonts w:ascii="Times New Roman" w:hAnsi="方正仿宋简体"/>
          <w:szCs w:val="32"/>
        </w:rPr>
        <w:t>规上工业企业综合能耗同比下降</w:t>
      </w:r>
      <w:r>
        <w:rPr>
          <w:rFonts w:ascii="Times New Roman" w:hAnsi="Times New Roman"/>
          <w:szCs w:val="32"/>
        </w:rPr>
        <w:t>20.4%</w:t>
      </w:r>
      <w:r>
        <w:rPr>
          <w:rFonts w:ascii="Times New Roman" w:hAnsi="方正仿宋简体"/>
          <w:szCs w:val="32"/>
        </w:rPr>
        <w:t>，</w:t>
      </w:r>
      <w:r>
        <w:rPr>
          <w:rFonts w:ascii="Times New Roman" w:hAnsi="Times New Roman"/>
          <w:szCs w:val="32"/>
        </w:rPr>
        <w:t>7</w:t>
      </w:r>
      <w:r>
        <w:rPr>
          <w:rFonts w:ascii="Times New Roman" w:hAnsi="方正仿宋简体"/>
          <w:szCs w:val="32"/>
        </w:rPr>
        <w:t>家拟关停化工企业已停产，</w:t>
      </w:r>
      <w:r>
        <w:rPr>
          <w:rFonts w:ascii="Times New Roman" w:hAnsi="Times New Roman"/>
          <w:szCs w:val="32"/>
        </w:rPr>
        <w:t>4个VOCs重点治理工程已完成</w:t>
      </w:r>
      <w:r>
        <w:rPr>
          <w:rFonts w:ascii="Times New Roman" w:hAnsi="方正仿宋简体"/>
          <w:szCs w:val="32"/>
        </w:rPr>
        <w:t>；实施</w:t>
      </w:r>
      <w:r>
        <w:rPr>
          <w:rFonts w:ascii="Times New Roman" w:hAnsi="Times New Roman"/>
          <w:kern w:val="0"/>
          <w:szCs w:val="32"/>
        </w:rPr>
        <w:t>耕地轮作休耕</w:t>
      </w:r>
      <w:r>
        <w:rPr>
          <w:rFonts w:ascii="Times New Roman" w:hAnsi="Times New Roman"/>
          <w:szCs w:val="32"/>
        </w:rPr>
        <w:t>13.81万亩，建立化肥减量增效示范基地8万亩；新型墙材使用率达100%。</w:t>
      </w:r>
      <w:r>
        <w:rPr>
          <w:rFonts w:hint="eastAsia" w:ascii="方正仿宋简体" w:hAnsi="Times New Roman"/>
          <w:b/>
          <w:bCs/>
          <w:szCs w:val="32"/>
        </w:rPr>
        <w:t>环境</w:t>
      </w:r>
      <w:r>
        <w:rPr>
          <w:rFonts w:ascii="方正仿宋简体" w:hAnsi="Times New Roman"/>
          <w:b/>
          <w:bCs/>
          <w:szCs w:val="32"/>
        </w:rPr>
        <w:t>治理稳步实施。</w:t>
      </w:r>
      <w:r>
        <w:rPr>
          <w:rFonts w:ascii="Times New Roman" w:hAnsi="Times New Roman"/>
          <w:szCs w:val="32"/>
        </w:rPr>
        <w:t>雄州污水处理二厂</w:t>
      </w:r>
      <w:r>
        <w:rPr>
          <w:rFonts w:hint="eastAsia" w:ascii="Times New Roman" w:hAnsi="Times New Roman"/>
          <w:szCs w:val="32"/>
        </w:rPr>
        <w:t>项目</w:t>
      </w:r>
      <w:r>
        <w:rPr>
          <w:rFonts w:ascii="Times New Roman" w:hAnsi="Times New Roman"/>
          <w:szCs w:val="32"/>
        </w:rPr>
        <w:t>建成试运行，完成道路污水管网建设3.22公里，农村污水处理设施全覆盖一期工程全部开工；垃圾焚烧发电厂项目前期工作有序开展，建成垃圾分类先行先试居民小区2个和强制分类工作单位7家，全区生活垃圾回收利用率达30.2%。</w:t>
      </w:r>
    </w:p>
    <w:p>
      <w:pPr>
        <w:spacing w:line="540" w:lineRule="exact"/>
        <w:ind w:firstLine="632" w:firstLineChars="200"/>
        <w:rPr>
          <w:rFonts w:ascii="方正黑体简体" w:hAnsi="Times New Roman" w:eastAsia="方正黑体简体"/>
          <w:szCs w:val="32"/>
        </w:rPr>
      </w:pPr>
      <w:r>
        <w:rPr>
          <w:rFonts w:hint="eastAsia" w:ascii="Times New Roman" w:hAnsi="Times New Roman" w:eastAsia="方正楷体简体"/>
          <w:szCs w:val="32"/>
        </w:rPr>
        <w:t>6</w:t>
      </w:r>
      <w:r>
        <w:rPr>
          <w:rFonts w:ascii="Times New Roman" w:hAnsi="Times New Roman" w:eastAsia="方正楷体简体"/>
          <w:szCs w:val="32"/>
        </w:rPr>
        <w:t>.</w:t>
      </w:r>
      <w:r>
        <w:rPr>
          <w:rFonts w:hint="eastAsia" w:ascii="方正楷体简体" w:hAnsi="Times New Roman" w:eastAsia="方正楷体简体"/>
          <w:szCs w:val="32"/>
        </w:rPr>
        <w:t>民生福祉日益增进。</w:t>
      </w:r>
      <w:r>
        <w:rPr>
          <w:rFonts w:hint="eastAsia" w:ascii="方正仿宋简体" w:hAnsi="Times New Roman"/>
          <w:b/>
          <w:bCs/>
          <w:szCs w:val="32"/>
        </w:rPr>
        <w:t>公共服务加速提升。</w:t>
      </w:r>
      <w:r>
        <w:rPr>
          <w:rFonts w:ascii="Times New Roman" w:hAnsi="Times New Roman"/>
          <w:kern w:val="0"/>
          <w:szCs w:val="32"/>
        </w:rPr>
        <w:t>28项富民增收任务全部按计划推进；</w:t>
      </w:r>
      <w:r>
        <w:rPr>
          <w:rFonts w:ascii="Times New Roman" w:hAnsi="Times New Roman"/>
          <w:szCs w:val="32"/>
        </w:rPr>
        <w:t>每千名老人拥有养老床位数达44张；区人民医院新病房楼等医疗卫生项目加快建设；建成村卫生室中医阁13家，申报国家级卫生街镇5家、省级2家；</w:t>
      </w:r>
      <w:r>
        <w:rPr>
          <w:rFonts w:ascii="Times New Roman" w:hAnsi="Times New Roman"/>
          <w:szCs w:val="32"/>
          <w:shd w:val="clear" w:color="auto" w:fill="FFFFFF"/>
        </w:rPr>
        <w:t>8所民办幼儿园转型为民办惠民园，公办和民办惠民园就读幼儿比例提升至90%以上；顺利通过“省平安校园建设示范区”验收，六合中专</w:t>
      </w:r>
      <w:r>
        <w:rPr>
          <w:rFonts w:hint="eastAsia" w:ascii="Times New Roman" w:hAnsi="Times New Roman"/>
          <w:szCs w:val="32"/>
          <w:shd w:val="clear" w:color="auto" w:fill="FFFFFF"/>
        </w:rPr>
        <w:t>校</w:t>
      </w:r>
      <w:r>
        <w:rPr>
          <w:rFonts w:ascii="Times New Roman" w:hAnsi="Times New Roman"/>
          <w:szCs w:val="32"/>
          <w:shd w:val="clear" w:color="auto" w:fill="FFFFFF"/>
        </w:rPr>
        <w:t>成功创建“省智慧校园”。</w:t>
      </w:r>
      <w:r>
        <w:rPr>
          <w:rFonts w:ascii="方正仿宋简体" w:hAnsi="Times New Roman"/>
          <w:b/>
          <w:bCs/>
          <w:szCs w:val="32"/>
        </w:rPr>
        <w:t>社保体系不断完善。</w:t>
      </w:r>
      <w:r>
        <w:rPr>
          <w:rFonts w:ascii="Times New Roman" w:hAnsi="Times New Roman"/>
          <w:bCs/>
          <w:kern w:val="0"/>
          <w:szCs w:val="32"/>
        </w:rPr>
        <w:t>严格</w:t>
      </w:r>
      <w:r>
        <w:rPr>
          <w:rFonts w:ascii="Times New Roman" w:hAnsi="Times New Roman"/>
          <w:kern w:val="0"/>
          <w:szCs w:val="32"/>
        </w:rPr>
        <w:t>落实阶段性减免社保费</w:t>
      </w:r>
      <w:r>
        <w:rPr>
          <w:rFonts w:ascii="Times New Roman" w:hAnsi="Times New Roman"/>
          <w:szCs w:val="32"/>
        </w:rPr>
        <w:t>，</w:t>
      </w:r>
      <w:r>
        <w:rPr>
          <w:rFonts w:ascii="Times New Roman" w:hAnsi="Times New Roman"/>
          <w:kern w:val="0"/>
          <w:szCs w:val="32"/>
        </w:rPr>
        <w:t>为</w:t>
      </w:r>
      <w:r>
        <w:rPr>
          <w:rFonts w:ascii="Times New Roman" w:hAnsi="Times New Roman"/>
          <w:bCs/>
          <w:szCs w:val="32"/>
        </w:rPr>
        <w:t>参保单位减负4.36亿元，城乡居民基本养老保险覆盖率达98.6%；</w:t>
      </w:r>
      <w:r>
        <w:rPr>
          <w:rFonts w:ascii="Times New Roman" w:hAnsi="Times New Roman"/>
          <w:szCs w:val="32"/>
        </w:rPr>
        <w:t>新开工保障房20.6万平方米、竣工1.2万平方米，农村危房改造工作获国办通报表扬；上半年新增就业</w:t>
      </w:r>
      <w:r>
        <w:rPr>
          <w:rFonts w:hint="eastAsia" w:ascii="Times New Roman" w:hAnsi="Times New Roman"/>
          <w:szCs w:val="32"/>
        </w:rPr>
        <w:t>1.3万多</w:t>
      </w:r>
      <w:r>
        <w:rPr>
          <w:rFonts w:ascii="Times New Roman" w:hAnsi="Times New Roman"/>
          <w:szCs w:val="32"/>
        </w:rPr>
        <w:t>人，培育自主创业568人；完成补贴性职业技能培训2910人次。</w:t>
      </w:r>
      <w:r>
        <w:rPr>
          <w:rFonts w:ascii="方正仿宋简体" w:hAnsi="Times New Roman"/>
          <w:b/>
          <w:bCs/>
          <w:szCs w:val="32"/>
        </w:rPr>
        <w:t>脱贫攻坚</w:t>
      </w:r>
      <w:r>
        <w:rPr>
          <w:rFonts w:hint="eastAsia" w:ascii="方正仿宋简体" w:hAnsi="Times New Roman"/>
          <w:b/>
          <w:bCs/>
          <w:szCs w:val="32"/>
        </w:rPr>
        <w:t>取得</w:t>
      </w:r>
      <w:r>
        <w:rPr>
          <w:rFonts w:ascii="方正仿宋简体" w:hAnsi="Times New Roman"/>
          <w:b/>
          <w:bCs/>
          <w:szCs w:val="32"/>
        </w:rPr>
        <w:t>成果。</w:t>
      </w:r>
      <w:r>
        <w:rPr>
          <w:rFonts w:ascii="Times New Roman" w:hAnsi="方正仿宋简体"/>
          <w:szCs w:val="32"/>
        </w:rPr>
        <w:t>制定</w:t>
      </w:r>
      <w:r>
        <w:rPr>
          <w:rFonts w:ascii="Times New Roman" w:hAnsi="Times New Roman"/>
          <w:szCs w:val="32"/>
        </w:rPr>
        <w:t>2020</w:t>
      </w:r>
      <w:r>
        <w:rPr>
          <w:rFonts w:ascii="Times New Roman" w:hAnsi="方正仿宋简体"/>
          <w:szCs w:val="32"/>
        </w:rPr>
        <w:t>年度对口帮扶对口支援工作计划，</w:t>
      </w:r>
      <w:r>
        <w:rPr>
          <w:rFonts w:ascii="Times New Roman" w:hAnsi="Times New Roman"/>
          <w:szCs w:val="32"/>
        </w:rPr>
        <w:t>扎实开展西藏墨竹工卡精准扶贫协作；巩固山阳县和湟源县脱贫成果，</w:t>
      </w:r>
      <w:r>
        <w:rPr>
          <w:rFonts w:ascii="Times New Roman" w:hAnsi="方正仿宋简体"/>
          <w:szCs w:val="32"/>
        </w:rPr>
        <w:t>为山阳县、湟源县分别争取省统筹资金</w:t>
      </w:r>
      <w:r>
        <w:rPr>
          <w:rFonts w:ascii="Times New Roman" w:hAnsi="Times New Roman"/>
          <w:szCs w:val="32"/>
        </w:rPr>
        <w:t>1.8</w:t>
      </w:r>
      <w:r>
        <w:rPr>
          <w:rFonts w:ascii="Times New Roman" w:hAnsi="方正仿宋简体"/>
          <w:szCs w:val="32"/>
        </w:rPr>
        <w:t>亿元、</w:t>
      </w:r>
      <w:r>
        <w:rPr>
          <w:rFonts w:ascii="Times New Roman" w:hAnsi="Times New Roman"/>
          <w:szCs w:val="32"/>
        </w:rPr>
        <w:t>0.42</w:t>
      </w:r>
      <w:r>
        <w:rPr>
          <w:rFonts w:ascii="Times New Roman" w:hAnsi="方正仿宋简体"/>
          <w:szCs w:val="32"/>
        </w:rPr>
        <w:t>亿元，资金数额均为历年来最高。</w:t>
      </w:r>
      <w:r>
        <w:rPr>
          <w:rFonts w:ascii="Times New Roman" w:hAnsi="Times New Roman"/>
          <w:szCs w:val="32"/>
        </w:rPr>
        <w:t>整合涉农资金源头，落实奖补资金2.13亿元；</w:t>
      </w:r>
      <w:r>
        <w:rPr>
          <w:color w:val="000000"/>
          <w:szCs w:val="32"/>
        </w:rPr>
        <w:t>出台防止返贫长效机制实施方案，</w:t>
      </w:r>
      <w:r>
        <w:rPr>
          <w:rFonts w:ascii="Times New Roman" w:hAnsi="Times New Roman"/>
          <w:color w:val="000000"/>
          <w:szCs w:val="32"/>
        </w:rPr>
        <w:t>对13个低收入村、125</w:t>
      </w:r>
      <w:r>
        <w:rPr>
          <w:color w:val="000000"/>
          <w:szCs w:val="32"/>
        </w:rPr>
        <w:t>户</w:t>
      </w:r>
      <w:r>
        <w:rPr>
          <w:rFonts w:ascii="Times New Roman" w:hAnsi="Times New Roman"/>
          <w:color w:val="000000"/>
          <w:szCs w:val="32"/>
        </w:rPr>
        <w:t>“</w:t>
      </w:r>
      <w:r>
        <w:rPr>
          <w:rFonts w:ascii="Times New Roman"/>
          <w:color w:val="000000"/>
          <w:szCs w:val="32"/>
        </w:rPr>
        <w:t>夹心层</w:t>
      </w:r>
      <w:r>
        <w:rPr>
          <w:rFonts w:ascii="Times New Roman" w:hAnsi="Times New Roman"/>
          <w:color w:val="000000"/>
          <w:szCs w:val="32"/>
        </w:rPr>
        <w:t>”</w:t>
      </w:r>
      <w:r>
        <w:rPr>
          <w:color w:val="000000"/>
          <w:szCs w:val="32"/>
        </w:rPr>
        <w:t>低收入农户落实分级挂钩帮扶措施</w:t>
      </w:r>
      <w:r>
        <w:rPr>
          <w:rFonts w:hint="eastAsia" w:ascii="Times New Roman" w:hAnsi="Times New Roman"/>
          <w:szCs w:val="32"/>
        </w:rPr>
        <w:t>；</w:t>
      </w:r>
      <w:r>
        <w:rPr>
          <w:rFonts w:ascii="Times New Roman" w:hAnsi="Times New Roman"/>
          <w:szCs w:val="32"/>
        </w:rPr>
        <w:t>引导低收入农户就近就业，就业率达90%。</w:t>
      </w:r>
      <w:r>
        <w:rPr>
          <w:rFonts w:ascii="方正仿宋简体" w:hAnsi="Times New Roman"/>
          <w:b/>
          <w:bCs/>
          <w:szCs w:val="32"/>
        </w:rPr>
        <w:t>文化活动丰富多彩。</w:t>
      </w:r>
      <w:r>
        <w:rPr>
          <w:rFonts w:ascii="Times New Roman" w:hAnsi="Times New Roman"/>
          <w:szCs w:val="32"/>
        </w:rPr>
        <w:t>6所文化站入选省“十百千”示范工程名单</w:t>
      </w:r>
      <w:r>
        <w:rPr>
          <w:rFonts w:ascii="Times New Roman" w:hAnsi="Times New Roman"/>
          <w:kern w:val="0"/>
          <w:szCs w:val="32"/>
        </w:rPr>
        <w:t>；完成送图书3200册，送演出22场，开展各类全民阅读活动285场，举办群众性文体活动700余场；冶山街道“同心</w:t>
      </w:r>
      <w:r>
        <w:rPr>
          <w:rFonts w:hint="eastAsia" w:ascii="Times New Roman" w:hAnsi="Times New Roman"/>
          <w:szCs w:val="32"/>
        </w:rPr>
        <w:t>·</w:t>
      </w:r>
      <w:r>
        <w:rPr>
          <w:rFonts w:ascii="Times New Roman" w:hAnsi="Times New Roman"/>
          <w:kern w:val="0"/>
          <w:szCs w:val="32"/>
        </w:rPr>
        <w:t>农民画院”获评省华侨文化交流基地；13块社会足球场建设取得阶段性成效，完成情况在全市排名靠前。</w:t>
      </w:r>
      <w:r>
        <w:rPr>
          <w:rFonts w:ascii="方正仿宋简体" w:hAnsi="Times New Roman"/>
          <w:b/>
          <w:bCs/>
          <w:szCs w:val="32"/>
        </w:rPr>
        <w:t>社会治理全面进步。</w:t>
      </w:r>
      <w:r>
        <w:rPr>
          <w:rFonts w:ascii="Times New Roman" w:hAnsi="Times New Roman"/>
          <w:bCs/>
          <w:szCs w:val="32"/>
        </w:rPr>
        <w:t>大力开展安全生产专项整治行动，积极</w:t>
      </w:r>
      <w:r>
        <w:rPr>
          <w:rFonts w:ascii="Times New Roman" w:hAnsi="Times New Roman"/>
          <w:kern w:val="0"/>
          <w:szCs w:val="32"/>
        </w:rPr>
        <w:t>创建国家安全发展示范城市，深化打非治违，全区安全生产形势持续平稳；</w:t>
      </w:r>
      <w:r>
        <w:rPr>
          <w:rFonts w:ascii="Times New Roman" w:hAnsi="Times New Roman"/>
          <w:bCs/>
          <w:szCs w:val="32"/>
        </w:rPr>
        <w:t>纵深推进</w:t>
      </w:r>
      <w:r>
        <w:rPr>
          <w:rFonts w:ascii="Times New Roman" w:hAnsi="Times New Roman"/>
          <w:szCs w:val="32"/>
        </w:rPr>
        <w:t>社会矛盾和安全隐患</w:t>
      </w:r>
      <w:r>
        <w:rPr>
          <w:rFonts w:ascii="Times New Roman" w:hAnsi="Times New Roman"/>
          <w:bCs/>
          <w:szCs w:val="32"/>
        </w:rPr>
        <w:t>“大排查大整治”</w:t>
      </w:r>
      <w:r>
        <w:rPr>
          <w:rFonts w:ascii="Times New Roman" w:hAnsi="Times New Roman"/>
          <w:szCs w:val="32"/>
        </w:rPr>
        <w:t>行动</w:t>
      </w:r>
      <w:r>
        <w:rPr>
          <w:rFonts w:ascii="Times New Roman" w:hAnsi="Times New Roman"/>
          <w:bCs/>
          <w:szCs w:val="32"/>
        </w:rPr>
        <w:t>，</w:t>
      </w:r>
      <w:r>
        <w:rPr>
          <w:rFonts w:ascii="Times New Roman" w:hAnsi="Times New Roman"/>
          <w:szCs w:val="32"/>
        </w:rPr>
        <w:t>累计化解风险隐患54个；</w:t>
      </w:r>
      <w:r>
        <w:rPr>
          <w:rFonts w:ascii="Times New Roman" w:hAnsi="Times New Roman"/>
          <w:bCs/>
          <w:szCs w:val="32"/>
        </w:rPr>
        <w:t>扎实开展“扫黑除恶”专项斗争，完善</w:t>
      </w:r>
      <w:r>
        <w:rPr>
          <w:rFonts w:ascii="Times New Roman" w:hAnsi="Times New Roman"/>
          <w:szCs w:val="32"/>
        </w:rPr>
        <w:t>立体化、法治化、智能化治安防控</w:t>
      </w:r>
      <w:r>
        <w:rPr>
          <w:rFonts w:ascii="Times New Roman" w:hAnsi="Times New Roman"/>
          <w:bCs/>
          <w:szCs w:val="32"/>
        </w:rPr>
        <w:t>大格局，</w:t>
      </w:r>
      <w:r>
        <w:rPr>
          <w:rFonts w:hint="eastAsia"/>
          <w:color w:val="000000"/>
          <w:szCs w:val="32"/>
        </w:rPr>
        <w:t>扫黑除恶知晓率全市第一，</w:t>
      </w:r>
      <w:r>
        <w:rPr>
          <w:rFonts w:ascii="Times New Roman" w:hAnsi="Times New Roman"/>
          <w:szCs w:val="32"/>
        </w:rPr>
        <w:t>群众安全感达9</w:t>
      </w:r>
      <w:r>
        <w:rPr>
          <w:rFonts w:hint="eastAsia" w:ascii="Times New Roman" w:hAnsi="Times New Roman"/>
          <w:szCs w:val="32"/>
        </w:rPr>
        <w:t>9.2</w:t>
      </w:r>
      <w:r>
        <w:rPr>
          <w:rFonts w:ascii="Times New Roman" w:hAnsi="Times New Roman"/>
          <w:szCs w:val="32"/>
        </w:rPr>
        <w:t>%，居全市第二；区法律援助中心获评“全国法律援助工作先进集体”；</w:t>
      </w:r>
      <w:r>
        <w:rPr>
          <w:rFonts w:ascii="Times New Roman" w:hAnsi="Times New Roman"/>
          <w:color w:val="000000"/>
        </w:rPr>
        <w:t>“党建引领、网格为基、自治德治法治相结合助力乡村治理”获全国创新社会治理典型案例“最佳案例”</w:t>
      </w:r>
      <w:r>
        <w:rPr>
          <w:rFonts w:ascii="Times New Roman" w:hAnsi="Times New Roman"/>
          <w:szCs w:val="32"/>
        </w:rPr>
        <w:t>；严把食品、防疫药品、医疗器械 “健康关”，</w:t>
      </w:r>
      <w:r>
        <w:rPr>
          <w:rFonts w:ascii="Times New Roman" w:hAnsi="方正仿宋简体"/>
          <w:szCs w:val="32"/>
        </w:rPr>
        <w:t>食品抽</w:t>
      </w:r>
      <w:r>
        <w:rPr>
          <w:rFonts w:ascii="Times New Roman" w:hAnsi="Times New Roman"/>
          <w:szCs w:val="32"/>
        </w:rPr>
        <w:t>检合格率达99.1%</w:t>
      </w:r>
      <w:r>
        <w:rPr>
          <w:rFonts w:ascii="Times New Roman" w:hAnsi="Times New Roman"/>
          <w:bCs/>
          <w:szCs w:val="32"/>
        </w:rPr>
        <w:t>。</w:t>
      </w:r>
    </w:p>
    <w:p>
      <w:pPr>
        <w:spacing w:line="540" w:lineRule="exact"/>
        <w:ind w:firstLine="632" w:firstLineChars="200"/>
        <w:rPr>
          <w:rFonts w:ascii="方正黑体简体" w:hAnsi="Times New Roman" w:eastAsia="方正黑体简体"/>
          <w:szCs w:val="32"/>
        </w:rPr>
      </w:pPr>
      <w:r>
        <w:rPr>
          <w:rFonts w:hint="eastAsia" w:ascii="方正黑体简体" w:hAnsi="Times New Roman" w:eastAsia="方正黑体简体"/>
          <w:szCs w:val="32"/>
        </w:rPr>
        <w:t>二、存在的主要问题</w:t>
      </w:r>
    </w:p>
    <w:p>
      <w:pPr>
        <w:spacing w:line="540" w:lineRule="exact"/>
        <w:ind w:firstLine="632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今年上半年，面对突如其来的疫情，全区上下闻令而动、众志成城，成为全省第一批低风险地区。在严峻复杂的内外形势下，这样的成绩来之不易，我们清醒地认识到，当前经济社会发展还存在不少短板和弱项，夺取“双胜利”的任务仍然艰巨繁重。</w:t>
      </w:r>
    </w:p>
    <w:p>
      <w:pPr>
        <w:spacing w:line="540" w:lineRule="exact"/>
        <w:ind w:firstLine="632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b/>
          <w:szCs w:val="32"/>
        </w:rPr>
        <w:t>一是</w:t>
      </w:r>
      <w:r>
        <w:rPr>
          <w:rFonts w:hint="eastAsia" w:ascii="Times New Roman" w:hAnsi="Times New Roman"/>
          <w:szCs w:val="32"/>
        </w:rPr>
        <w:t>要素保障能力不强，土地规划空间受限，项目用地</w:t>
      </w:r>
      <w:r>
        <w:rPr>
          <w:rFonts w:ascii="Times New Roman" w:hAnsi="Times New Roman"/>
          <w:szCs w:val="32"/>
        </w:rPr>
        <w:t>供需矛盾突出</w:t>
      </w:r>
      <w:r>
        <w:rPr>
          <w:rFonts w:hint="eastAsia" w:ascii="Times New Roman" w:hAnsi="Times New Roman"/>
          <w:szCs w:val="32"/>
        </w:rPr>
        <w:t>，园区发展受到制约，签约项目转化率不高。</w:t>
      </w:r>
      <w:r>
        <w:rPr>
          <w:rFonts w:hint="eastAsia" w:ascii="Times New Roman" w:hAnsi="Times New Roman"/>
          <w:b/>
          <w:szCs w:val="32"/>
        </w:rPr>
        <w:t>二是</w:t>
      </w:r>
      <w:r>
        <w:rPr>
          <w:rFonts w:hint="eastAsia" w:ascii="Times New Roman" w:hAnsi="Times New Roman"/>
          <w:szCs w:val="32"/>
        </w:rPr>
        <w:t>产业转型后劲乏力，主导产业规模小、集聚度低，</w:t>
      </w:r>
      <w:r>
        <w:rPr>
          <w:rFonts w:ascii="Times New Roman" w:hAnsi="Times New Roman"/>
          <w:szCs w:val="32"/>
        </w:rPr>
        <w:t>企业创新能力</w:t>
      </w:r>
      <w:r>
        <w:rPr>
          <w:rFonts w:hint="eastAsia" w:ascii="Times New Roman" w:hAnsi="Times New Roman"/>
          <w:szCs w:val="32"/>
        </w:rPr>
        <w:t>偏</w:t>
      </w:r>
      <w:r>
        <w:rPr>
          <w:rFonts w:ascii="Times New Roman" w:hAnsi="Times New Roman"/>
          <w:szCs w:val="32"/>
        </w:rPr>
        <w:t>弱</w:t>
      </w:r>
      <w:r>
        <w:rPr>
          <w:rFonts w:hint="eastAsia" w:ascii="Times New Roman" w:hAnsi="Times New Roman"/>
          <w:szCs w:val="32"/>
        </w:rPr>
        <w:t>、研发投入不够，产品科技含量较低。</w:t>
      </w:r>
      <w:r>
        <w:rPr>
          <w:rFonts w:hint="eastAsia" w:ascii="Times New Roman" w:hAnsi="Times New Roman"/>
          <w:b/>
          <w:szCs w:val="32"/>
        </w:rPr>
        <w:t>三是</w:t>
      </w:r>
      <w:r>
        <w:rPr>
          <w:rFonts w:hint="eastAsia" w:ascii="Times New Roman" w:hAnsi="Times New Roman"/>
          <w:szCs w:val="32"/>
        </w:rPr>
        <w:t>消费市场尚未完全恢复，社零实现正增长难度较大；受外需疲弱和国外供应链中断影响，稳外贸压力加大。</w:t>
      </w:r>
      <w:r>
        <w:rPr>
          <w:rFonts w:hint="eastAsia" w:ascii="Times New Roman" w:hAnsi="Times New Roman"/>
          <w:b/>
          <w:szCs w:val="32"/>
        </w:rPr>
        <w:t>四是</w:t>
      </w:r>
      <w:r>
        <w:rPr>
          <w:rFonts w:hint="eastAsia" w:ascii="Times New Roman" w:hAnsi="Times New Roman"/>
          <w:szCs w:val="32"/>
        </w:rPr>
        <w:t>社会民生领域面临较大挑战，稳岗稳就业难度增加，基</w:t>
      </w:r>
      <w:r>
        <w:rPr>
          <w:rFonts w:ascii="Times New Roman" w:hAnsi="Times New Roman"/>
          <w:szCs w:val="32"/>
        </w:rPr>
        <w:t>本公共服务水平</w:t>
      </w:r>
      <w:r>
        <w:rPr>
          <w:rFonts w:hint="eastAsia" w:ascii="Times New Roman" w:hAnsi="Times New Roman"/>
          <w:szCs w:val="32"/>
        </w:rPr>
        <w:t>与人民群众的期望尚有差距，卫生、教育、养老</w:t>
      </w:r>
      <w:r>
        <w:rPr>
          <w:rFonts w:ascii="Times New Roman" w:hAnsi="Times New Roman"/>
          <w:szCs w:val="32"/>
        </w:rPr>
        <w:t>机构</w:t>
      </w:r>
      <w:r>
        <w:rPr>
          <w:rFonts w:hint="eastAsia" w:ascii="Times New Roman" w:hAnsi="Times New Roman"/>
          <w:szCs w:val="32"/>
        </w:rPr>
        <w:t>等配套水平与高质量发展要求不相适应等等。</w:t>
      </w:r>
    </w:p>
    <w:p>
      <w:pPr>
        <w:spacing w:line="540" w:lineRule="exact"/>
        <w:ind w:firstLine="632" w:firstLineChars="200"/>
        <w:rPr>
          <w:rFonts w:ascii="Times New Roman" w:hAnsi="Times New Roman" w:eastAsia="方正黑体简体"/>
          <w:szCs w:val="32"/>
        </w:rPr>
      </w:pPr>
      <w:r>
        <w:rPr>
          <w:rFonts w:hint="eastAsia" w:ascii="Times New Roman" w:hAnsi="Times New Roman" w:eastAsia="方正黑体简体"/>
          <w:szCs w:val="32"/>
        </w:rPr>
        <w:t>三</w:t>
      </w:r>
      <w:r>
        <w:rPr>
          <w:rFonts w:ascii="Times New Roman" w:hAnsi="Times New Roman" w:eastAsia="方正黑体简体"/>
          <w:szCs w:val="32"/>
        </w:rPr>
        <w:t>、下一步工作</w:t>
      </w:r>
      <w:r>
        <w:rPr>
          <w:rFonts w:hint="eastAsia" w:ascii="Times New Roman" w:hAnsi="Times New Roman" w:eastAsia="方正黑体简体"/>
          <w:szCs w:val="32"/>
        </w:rPr>
        <w:t>举措</w:t>
      </w:r>
    </w:p>
    <w:p>
      <w:pPr>
        <w:spacing w:line="540" w:lineRule="exact"/>
        <w:ind w:firstLine="632" w:firstLineChars="200"/>
        <w:rPr>
          <w:rFonts w:ascii="方正仿宋简体" w:hAnsi="Times New Roman"/>
          <w:szCs w:val="32"/>
        </w:rPr>
      </w:pPr>
      <w:r>
        <w:rPr>
          <w:rFonts w:ascii="Times New Roman" w:hAnsi="Times New Roman"/>
          <w:szCs w:val="32"/>
        </w:rPr>
        <w:t>下半年，我们将认真贯彻人代会精神，紧扣全年目标，</w:t>
      </w:r>
      <w:r>
        <w:rPr>
          <w:rFonts w:hint="eastAsia" w:ascii="Times New Roman" w:hAnsi="Times New Roman"/>
          <w:szCs w:val="32"/>
        </w:rPr>
        <w:t>狠抓调度推进，攻坚薄弱环节，</w:t>
      </w:r>
      <w:r>
        <w:rPr>
          <w:rFonts w:hint="eastAsia" w:ascii="方正仿宋简体" w:hAnsi="Times New Roman"/>
          <w:szCs w:val="32"/>
        </w:rPr>
        <w:t>在做好常态化疫情防控的基础上，着力抓好“六稳”、抓牢“六保”、抓实“四新”，不折不扣完成高质量发展目标任务，为全面建成小康社会和“十三五”规划圆满收官打下更坚实的基础。</w:t>
      </w:r>
    </w:p>
    <w:p>
      <w:pPr>
        <w:spacing w:line="540" w:lineRule="exact"/>
        <w:ind w:firstLine="632" w:firstLineChars="200"/>
        <w:rPr>
          <w:rFonts w:ascii="微软雅黑" w:hAnsi="微软雅黑" w:eastAsia="微软雅黑"/>
          <w:spacing w:val="33"/>
          <w:sz w:val="27"/>
          <w:szCs w:val="27"/>
          <w:shd w:val="clear" w:color="auto" w:fill="FFFFFF"/>
        </w:rPr>
      </w:pPr>
      <w:r>
        <w:rPr>
          <w:rFonts w:hint="eastAsia" w:ascii="方正楷体简体" w:hAnsi="Times New Roman" w:eastAsia="方正楷体简体"/>
          <w:szCs w:val="32"/>
        </w:rPr>
        <w:t>一是狠抓运行调度，确保经济发展新进位。</w:t>
      </w:r>
      <w:r>
        <w:rPr>
          <w:rFonts w:hint="eastAsia" w:ascii="Times New Roman" w:hAnsi="Times New Roman"/>
          <w:szCs w:val="32"/>
        </w:rPr>
        <w:t>对照</w:t>
      </w:r>
      <w:r>
        <w:rPr>
          <w:rFonts w:ascii="Times New Roman" w:hAnsi="Times New Roman"/>
          <w:szCs w:val="32"/>
        </w:rPr>
        <w:t>市对区考核目标任务，</w:t>
      </w:r>
      <w:r>
        <w:rPr>
          <w:rFonts w:hint="eastAsia" w:ascii="Times New Roman" w:hAnsi="Times New Roman"/>
          <w:szCs w:val="32"/>
        </w:rPr>
        <w:t>重点关注地区生产总值、社零等经济指标，继续</w:t>
      </w:r>
      <w:r>
        <w:rPr>
          <w:rFonts w:ascii="Times New Roman" w:hAnsi="Times New Roman"/>
          <w:szCs w:val="32"/>
        </w:rPr>
        <w:t>加强</w:t>
      </w:r>
      <w:r>
        <w:rPr>
          <w:rFonts w:hint="eastAsia" w:ascii="Times New Roman" w:hAnsi="Times New Roman"/>
          <w:szCs w:val="32"/>
        </w:rPr>
        <w:t>监测</w:t>
      </w:r>
      <w:r>
        <w:rPr>
          <w:rFonts w:ascii="Times New Roman" w:hAnsi="Times New Roman"/>
          <w:szCs w:val="32"/>
        </w:rPr>
        <w:t>调度</w:t>
      </w:r>
      <w:r>
        <w:rPr>
          <w:rFonts w:hint="eastAsia" w:ascii="Times New Roman" w:hAnsi="Times New Roman"/>
          <w:szCs w:val="32"/>
        </w:rPr>
        <w:t>力度、频度</w:t>
      </w:r>
      <w:r>
        <w:rPr>
          <w:rFonts w:ascii="Times New Roman" w:hAnsi="Times New Roman"/>
          <w:szCs w:val="32"/>
        </w:rPr>
        <w:t>，从具体板块、具体企业、具体项目着手，逐项研究、逐项盘点、逐项推进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倒排进度、挂图作战</w:t>
      </w:r>
      <w:r>
        <w:rPr>
          <w:rFonts w:hint="eastAsia" w:ascii="Times New Roman" w:hAnsi="Times New Roman"/>
          <w:szCs w:val="32"/>
        </w:rPr>
        <w:t>、迎头赶上</w:t>
      </w:r>
      <w:r>
        <w:rPr>
          <w:rFonts w:ascii="Times New Roman" w:hAnsi="Times New Roman"/>
          <w:szCs w:val="32"/>
        </w:rPr>
        <w:t>。</w:t>
      </w:r>
      <w:r>
        <w:rPr>
          <w:rFonts w:hint="eastAsia" w:ascii="Times New Roman" w:hAnsi="Times New Roman"/>
          <w:szCs w:val="32"/>
        </w:rPr>
        <w:t>紧扣市对区考核加分要求，扎实高效推进各项工作，全力争取最优成绩和表彰奖励。</w:t>
      </w:r>
      <w:r>
        <w:rPr>
          <w:rFonts w:hint="eastAsia" w:ascii="Times New Roman" w:hAnsi="Cambria"/>
          <w:szCs w:val="32"/>
        </w:rPr>
        <w:t>牢牢把握市重点支持六合加快高质量发展机遇</w:t>
      </w:r>
      <w:r>
        <w:rPr>
          <w:rFonts w:ascii="Times New Roman" w:hAnsi="Cambria"/>
          <w:szCs w:val="32"/>
        </w:rPr>
        <w:t>，</w:t>
      </w:r>
      <w:r>
        <w:rPr>
          <w:rFonts w:ascii="Times New Roman" w:hAnsi="Times New Roman"/>
          <w:szCs w:val="32"/>
        </w:rPr>
        <w:t>全面对接落实好56</w:t>
      </w:r>
      <w:r>
        <w:rPr>
          <w:rFonts w:hint="eastAsia" w:ascii="Times New Roman" w:hAnsi="Times New Roman"/>
          <w:szCs w:val="32"/>
        </w:rPr>
        <w:t>项</w:t>
      </w:r>
      <w:r>
        <w:rPr>
          <w:rFonts w:ascii="Times New Roman" w:hAnsi="Times New Roman"/>
          <w:szCs w:val="32"/>
        </w:rPr>
        <w:t>支持事项，</w:t>
      </w:r>
      <w:r>
        <w:rPr>
          <w:rFonts w:hint="eastAsia" w:ascii="Times New Roman" w:hAnsi="Times New Roman"/>
          <w:szCs w:val="32"/>
        </w:rPr>
        <w:t>确保落地见效。</w:t>
      </w:r>
    </w:p>
    <w:p>
      <w:pPr>
        <w:spacing w:line="540" w:lineRule="exact"/>
        <w:ind w:firstLine="632" w:firstLineChars="200"/>
        <w:rPr>
          <w:rFonts w:ascii="Times New Roman" w:hAnsi="Times New Roman"/>
          <w:szCs w:val="32"/>
        </w:rPr>
      </w:pPr>
      <w:r>
        <w:rPr>
          <w:rFonts w:hint="eastAsia" w:ascii="方正楷体简体" w:hAnsi="Times New Roman" w:eastAsia="方正楷体简体"/>
          <w:szCs w:val="32"/>
        </w:rPr>
        <w:t>二</w:t>
      </w:r>
      <w:r>
        <w:rPr>
          <w:rFonts w:ascii="方正楷体简体" w:hAnsi="Times New Roman" w:eastAsia="方正楷体简体"/>
          <w:szCs w:val="32"/>
        </w:rPr>
        <w:t>是坚持创新驱动，激发产业转型新动力。</w:t>
      </w:r>
      <w:r>
        <w:rPr>
          <w:rFonts w:hint="eastAsia" w:ascii="Times New Roman" w:hAnsi="Times New Roman"/>
          <w:szCs w:val="32"/>
        </w:rPr>
        <w:t>深入实施高企追赶计划，坚持“培育与引进”并重，确保全年新增高企60家、备案新研机构8家。强化高端资源集聚，通过举办招商对接会、开展生根出访等活动，依托专业机构引入更多高端人才、创新项目落户六合，确保集聚科技顶尖专家2名。聚焦高端软件和信息服务、新医药与新健康、智能网联汽车和新能源汽车等产业，统筹区内外产业链配套资源，不断提升产业集聚度，确保全年新产业总规模超过35亿元。强化园区载体建设，</w:t>
      </w:r>
      <w:r>
        <w:rPr>
          <w:rFonts w:ascii="Times New Roman" w:hAnsi="Times New Roman"/>
        </w:rPr>
        <w:t>放大“一区多园”效应，</w:t>
      </w:r>
      <w:r>
        <w:rPr>
          <w:rFonts w:hint="eastAsia" w:ascii="Times New Roman" w:hAnsi="Times New Roman"/>
          <w:szCs w:val="32"/>
        </w:rPr>
        <w:t>释放六合经开区和高新区“去行政化”改革活力，加快盘活低效闲置用地，拓展产业发展空间，确保今年高新区进入全市中游水平、经开区进入省级开发区综合排名前20。</w:t>
      </w:r>
    </w:p>
    <w:p>
      <w:pPr>
        <w:spacing w:line="540" w:lineRule="exact"/>
        <w:ind w:firstLine="632" w:firstLineChars="200"/>
      </w:pPr>
      <w:r>
        <w:rPr>
          <w:rFonts w:hint="eastAsia" w:ascii="方正楷体简体" w:hAnsi="黑体" w:eastAsia="方正楷体简体"/>
          <w:szCs w:val="32"/>
        </w:rPr>
        <w:t>三是聚焦</w:t>
      </w:r>
      <w:r>
        <w:rPr>
          <w:rFonts w:ascii="Times New Roman" w:hAnsi="Times New Roman" w:eastAsia="方正楷体简体"/>
          <w:szCs w:val="32"/>
        </w:rPr>
        <w:t>“四新”</w:t>
      </w:r>
      <w:r>
        <w:rPr>
          <w:rFonts w:hint="eastAsia" w:ascii="方正楷体简体" w:hAnsi="黑体" w:eastAsia="方正楷体简体"/>
          <w:szCs w:val="32"/>
        </w:rPr>
        <w:t>行动，务求项目招商新突破。</w:t>
      </w:r>
      <w:r>
        <w:rPr>
          <w:rFonts w:hint="eastAsia" w:ascii="Times New Roman" w:hAnsi="Times New Roman"/>
          <w:szCs w:val="32"/>
        </w:rPr>
        <w:t>全面落实“招商突破年”和“企业服务年”要求，</w:t>
      </w:r>
      <w:r>
        <w:rPr>
          <w:rFonts w:hint="eastAsia" w:ascii="方正仿宋简体" w:hAnsi="Times New Roman"/>
          <w:szCs w:val="32"/>
        </w:rPr>
        <w:t>牢牢扭住项目招商“牛鼻子”，培育更多新经济增长点。</w:t>
      </w:r>
      <w:r>
        <w:rPr>
          <w:rFonts w:hint="eastAsia" w:ascii="Times New Roman" w:hAnsi="Times New Roman"/>
          <w:szCs w:val="32"/>
        </w:rPr>
        <w:t>强化发展“数字经济”，</w:t>
      </w:r>
      <w:r>
        <w:rPr>
          <w:rFonts w:hint="eastAsia" w:ascii="Times New Roman" w:hAnsi="Times New Roman"/>
        </w:rPr>
        <w:t>加快实施智慧城市、新能源汽车充电桩等</w:t>
      </w: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</w:rPr>
        <w:t>个新基建及关联产业、载体项目；</w:t>
      </w:r>
      <w:r>
        <w:rPr>
          <w:rFonts w:ascii="Times New Roman" w:hAnsi="Times New Roman"/>
          <w:szCs w:val="32"/>
        </w:rPr>
        <w:t>紧扣重点项目抓</w:t>
      </w:r>
      <w:r>
        <w:rPr>
          <w:rFonts w:hint="eastAsia" w:ascii="Times New Roman" w:hAnsi="Times New Roman"/>
          <w:szCs w:val="32"/>
        </w:rPr>
        <w:t>有效</w:t>
      </w:r>
      <w:r>
        <w:rPr>
          <w:rFonts w:ascii="Times New Roman" w:hAnsi="Times New Roman"/>
          <w:szCs w:val="32"/>
        </w:rPr>
        <w:t>投入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方正仿宋简体" w:hAnsi="Times New Roman"/>
          <w:bCs/>
          <w:szCs w:val="32"/>
        </w:rPr>
        <w:t>坚持区领导挂钩联系、专班推进等工作机制，</w:t>
      </w:r>
      <w:r>
        <w:rPr>
          <w:rFonts w:hint="eastAsia" w:ascii="Times New Roman" w:hAnsi="Times New Roman"/>
          <w:szCs w:val="32"/>
        </w:rPr>
        <w:t>打通项目建设痛点堵点，</w:t>
      </w:r>
      <w:r>
        <w:rPr>
          <w:rFonts w:hint="eastAsia" w:ascii="Times New Roman" w:hAnsi="Times New Roman"/>
        </w:rPr>
        <w:t>尽快形成投入量、产出量和实物量、价值量。</w:t>
      </w:r>
      <w:r>
        <w:rPr>
          <w:rFonts w:hint="eastAsia" w:ascii="方正仿宋简体" w:hAnsi="Times New Roman"/>
          <w:szCs w:val="32"/>
        </w:rPr>
        <w:t>瞄准“四新”领域，</w:t>
      </w:r>
      <w:r>
        <w:rPr>
          <w:rFonts w:hint="eastAsia" w:ascii="Times New Roman" w:hAnsi="Times New Roman"/>
          <w:szCs w:val="32"/>
        </w:rPr>
        <w:t>立足龙袍新城、经开区等重点板块，</w:t>
      </w:r>
      <w:r>
        <w:rPr>
          <w:rFonts w:hint="eastAsia" w:ascii="方正仿宋简体" w:hAnsi="Times New Roman"/>
          <w:szCs w:val="32"/>
        </w:rPr>
        <w:t>开展精准招商，</w:t>
      </w:r>
      <w:r>
        <w:rPr>
          <w:rFonts w:hint="eastAsia" w:ascii="仿宋_GB2312" w:hAnsi="仿宋_GB2312" w:eastAsia="仿宋_GB2312" w:cs="仿宋_GB2312"/>
          <w:szCs w:val="32"/>
        </w:rPr>
        <w:t>加大宣传推介力度</w:t>
      </w:r>
      <w:r>
        <w:rPr>
          <w:rFonts w:ascii="方正仿宋简体" w:hAnsi="Times New Roman"/>
          <w:szCs w:val="32"/>
        </w:rPr>
        <w:t>，</w:t>
      </w:r>
      <w:r>
        <w:rPr>
          <w:rFonts w:ascii="Times New Roman" w:hAnsi="Times New Roman"/>
          <w:szCs w:val="32"/>
        </w:rPr>
        <w:t>努力招引更多高质量旗舰项目、龙头项目</w:t>
      </w:r>
      <w:r>
        <w:rPr>
          <w:rFonts w:hint="eastAsia" w:ascii="Times New Roman" w:hAnsi="Times New Roman"/>
          <w:szCs w:val="32"/>
        </w:rPr>
        <w:t>；</w:t>
      </w:r>
      <w:r>
        <w:rPr>
          <w:rFonts w:hint="eastAsia" w:ascii="Times New Roman" w:hAnsi="Times New Roman"/>
        </w:rPr>
        <w:t>持续开展夜间经济、六合特色主题消费节、旅游惠民等</w:t>
      </w:r>
      <w:r>
        <w:rPr>
          <w:rFonts w:ascii="Times New Roman" w:hAnsi="Times New Roman"/>
        </w:rPr>
        <w:t>17</w:t>
      </w:r>
      <w:r>
        <w:rPr>
          <w:rFonts w:hint="eastAsia" w:ascii="Times New Roman" w:hAnsi="Times New Roman"/>
        </w:rPr>
        <w:t>个标志性活动，</w:t>
      </w:r>
      <w:r>
        <w:rPr>
          <w:rFonts w:hint="eastAsia" w:ascii="方正仿宋简体" w:hAnsi="Times New Roman"/>
          <w:szCs w:val="32"/>
        </w:rPr>
        <w:t>促进消费市场复苏回暖；</w:t>
      </w:r>
      <w:r>
        <w:rPr>
          <w:rFonts w:hint="eastAsia" w:ascii="Times New Roman" w:hAnsi="Times New Roman"/>
          <w:szCs w:val="32"/>
        </w:rPr>
        <w:t>持续</w:t>
      </w:r>
      <w:r>
        <w:rPr>
          <w:rFonts w:ascii="Times New Roman" w:hAnsi="Times New Roman"/>
          <w:szCs w:val="32"/>
        </w:rPr>
        <w:t>优化营商环境，</w:t>
      </w:r>
      <w:r>
        <w:rPr>
          <w:rFonts w:hint="eastAsia" w:ascii="Times New Roman" w:hAnsi="Times New Roman"/>
          <w:szCs w:val="32"/>
        </w:rPr>
        <w:t>提供个性化</w:t>
      </w:r>
      <w:r>
        <w:rPr>
          <w:rFonts w:ascii="Times New Roman" w:hAnsi="Times New Roman"/>
          <w:szCs w:val="32"/>
        </w:rPr>
        <w:t>精准服务</w:t>
      </w:r>
      <w:r>
        <w:rPr>
          <w:rFonts w:hint="eastAsia" w:ascii="Times New Roman" w:hAnsi="Times New Roman"/>
          <w:szCs w:val="32"/>
        </w:rPr>
        <w:t>，推动外资外贸双提升，</w:t>
      </w:r>
      <w:r>
        <w:rPr>
          <w:rFonts w:hint="eastAsia" w:ascii="方正仿宋简体" w:hAnsi="Times New Roman"/>
          <w:szCs w:val="32"/>
        </w:rPr>
        <w:t>落实税费、金融等惠企政策，把政策优势转化为增长动力。</w:t>
      </w:r>
    </w:p>
    <w:p>
      <w:pPr>
        <w:spacing w:line="540" w:lineRule="exact"/>
        <w:ind w:firstLine="632" w:firstLineChars="200"/>
        <w:rPr>
          <w:rFonts w:ascii="方正仿宋简体" w:hAnsi="Times New Roman"/>
          <w:szCs w:val="32"/>
        </w:rPr>
      </w:pPr>
      <w:r>
        <w:rPr>
          <w:rFonts w:hint="eastAsia" w:ascii="方正楷体简体" w:hAnsi="黑体" w:eastAsia="方正楷体简体"/>
          <w:szCs w:val="32"/>
        </w:rPr>
        <w:t>四是着眼“六稳”“六保”，谱写民生福祉新篇章。</w:t>
      </w:r>
      <w:r>
        <w:rPr>
          <w:rFonts w:ascii="Times New Roman" w:hAnsi="Times New Roman"/>
          <w:szCs w:val="32"/>
        </w:rPr>
        <w:t>以28项富民增收任务和8大类52项民生实事为抓手，进</w:t>
      </w:r>
      <w:r>
        <w:rPr>
          <w:rFonts w:hint="eastAsia" w:ascii="Times New Roman" w:hAnsi="Times New Roman"/>
          <w:szCs w:val="32"/>
        </w:rPr>
        <w:t>一步</w:t>
      </w:r>
      <w:r>
        <w:rPr>
          <w:rFonts w:hint="eastAsia" w:ascii="方正仿宋简体" w:hAnsi="Times New Roman"/>
          <w:szCs w:val="32"/>
        </w:rPr>
        <w:t>兜牢民生保障底线，把群众关切的事情落到实处。提档升级医疗机构硬件设施，健全重大突发公共卫生事件应急响应机制，推进区域医共体建设，建立科学分级诊疗制度；</w:t>
      </w:r>
      <w:r>
        <w:rPr>
          <w:rFonts w:hint="eastAsia" w:ascii="方正仿宋简体" w:hAnsi="宋体" w:cs="宋体"/>
          <w:bCs/>
          <w:szCs w:val="32"/>
        </w:rPr>
        <w:t>增加主城区教育资源总量，</w:t>
      </w:r>
      <w:r>
        <w:rPr>
          <w:rFonts w:hint="eastAsia" w:ascii="方正仿宋简体"/>
          <w:szCs w:val="32"/>
        </w:rPr>
        <w:t>全面实施“区管校聘”改革，</w:t>
      </w:r>
      <w:r>
        <w:rPr>
          <w:rFonts w:hint="eastAsia" w:ascii="方正仿宋简体" w:hAnsi="Times New Roman"/>
          <w:szCs w:val="32"/>
        </w:rPr>
        <w:t>优化教师人才队伍结构；拓展养老服务市场，</w:t>
      </w:r>
      <w:r>
        <w:rPr>
          <w:rFonts w:hint="eastAsia" w:ascii="方正仿宋简体" w:hAnsi="仿宋"/>
          <w:szCs w:val="32"/>
        </w:rPr>
        <w:t>探索医养融合新路径，</w:t>
      </w:r>
      <w:r>
        <w:rPr>
          <w:rFonts w:hAnsi="Times New Roman"/>
          <w:szCs w:val="32"/>
        </w:rPr>
        <w:t>继续提高护理型床位占比</w:t>
      </w:r>
      <w:r>
        <w:rPr>
          <w:rFonts w:hint="eastAsia" w:hAnsi="Times New Roman"/>
          <w:szCs w:val="32"/>
        </w:rPr>
        <w:t>；严格落实就业</w:t>
      </w:r>
      <w:r>
        <w:rPr>
          <w:rFonts w:hint="eastAsia" w:ascii="方正仿宋简体"/>
          <w:szCs w:val="32"/>
        </w:rPr>
        <w:t>优先和援企稳岗政策，</w:t>
      </w:r>
      <w:r>
        <w:rPr>
          <w:rFonts w:hint="eastAsia" w:hAnsi="Times New Roman"/>
          <w:szCs w:val="32"/>
        </w:rPr>
        <w:t>提供更多创业扶持和技能培训</w:t>
      </w:r>
      <w:r>
        <w:rPr>
          <w:rFonts w:hint="eastAsia" w:ascii="方正仿宋简体"/>
          <w:szCs w:val="32"/>
        </w:rPr>
        <w:t>；</w:t>
      </w:r>
      <w:r>
        <w:rPr>
          <w:rFonts w:hint="eastAsia" w:ascii="方正仿宋简体" w:hAnsi="Times New Roman"/>
          <w:szCs w:val="32"/>
        </w:rPr>
        <w:t>牢牢</w:t>
      </w:r>
      <w:r>
        <w:rPr>
          <w:rFonts w:ascii="Times New Roman" w:hAnsi="Times New Roman"/>
          <w:szCs w:val="32"/>
        </w:rPr>
        <w:t>绷紧疫情防控这根弦，</w:t>
      </w:r>
      <w:r>
        <w:rPr>
          <w:rFonts w:hint="eastAsia" w:ascii="方正仿宋简体" w:hAnsi="Times New Roman"/>
          <w:szCs w:val="32"/>
        </w:rPr>
        <w:t>统筹抓好安全生产、防汛减灾、信访维稳、稳价保供等各项工作，维护社会大局和谐稳定。</w:t>
      </w:r>
    </w:p>
    <w:p>
      <w:pPr>
        <w:spacing w:line="540" w:lineRule="exact"/>
        <w:ind w:firstLine="632" w:firstLineChars="200"/>
        <w:rPr>
          <w:rFonts w:ascii="Times New Roman" w:hAnsi="Times New Roman"/>
          <w:szCs w:val="32"/>
        </w:rPr>
      </w:pPr>
      <w:r>
        <w:rPr>
          <w:rFonts w:hint="eastAsia" w:ascii="方正楷体简体" w:hAnsi="黑体" w:eastAsia="方正楷体简体"/>
          <w:szCs w:val="32"/>
        </w:rPr>
        <w:t>五是突出功能品质，绘制城乡发展新画卷。</w:t>
      </w:r>
      <w:r>
        <w:rPr>
          <w:color w:val="000000"/>
          <w:szCs w:val="32"/>
        </w:rPr>
        <w:t>龙袍新城突出产城融合、生态宜居，按照</w:t>
      </w:r>
      <w:r>
        <w:rPr>
          <w:rFonts w:ascii="Times New Roman" w:hAnsi="Times New Roman"/>
          <w:color w:val="000000"/>
          <w:szCs w:val="32"/>
        </w:rPr>
        <w:t>“</w:t>
      </w:r>
      <w:r>
        <w:rPr>
          <w:rFonts w:ascii="Times New Roman"/>
          <w:color w:val="000000"/>
          <w:szCs w:val="32"/>
        </w:rPr>
        <w:t>民生优先、市政优先、功能优先</w:t>
      </w:r>
      <w:r>
        <w:rPr>
          <w:rFonts w:ascii="Times New Roman" w:hAnsi="Times New Roman"/>
          <w:color w:val="000000"/>
          <w:szCs w:val="32"/>
        </w:rPr>
        <w:t>”</w:t>
      </w:r>
      <w:r>
        <w:rPr>
          <w:color w:val="000000"/>
          <w:szCs w:val="32"/>
        </w:rPr>
        <w:t>原则，迅速拉开建设框架</w:t>
      </w:r>
      <w:r>
        <w:rPr>
          <w:rFonts w:hint="eastAsia"/>
          <w:color w:val="000000"/>
          <w:szCs w:val="32"/>
        </w:rPr>
        <w:t>，将其打造成为</w:t>
      </w:r>
      <w:r>
        <w:rPr>
          <w:rFonts w:hint="eastAsia" w:ascii="Times New Roman" w:hAnsi="Times New Roman"/>
          <w:szCs w:val="32"/>
        </w:rPr>
        <w:t>“滨江明珠、城市客厅”；深入实施乡村振兴战略，</w:t>
      </w:r>
      <w:r>
        <w:rPr>
          <w:rFonts w:hint="eastAsia" w:ascii="方正仿宋简体" w:hAnsi="Times New Roman"/>
          <w:szCs w:val="32"/>
        </w:rPr>
        <w:t>加强韧性城市建设，</w:t>
      </w:r>
      <w:r>
        <w:rPr>
          <w:rFonts w:hint="eastAsia" w:ascii="Times New Roman" w:hAnsi="Times New Roman"/>
          <w:szCs w:val="32"/>
        </w:rPr>
        <w:t>推进城乡融合发展，继续完善现代农业生产经营体系，整治提升农村人居环境，深化农村综合改革创新，让广大农民在乡村振兴中有更多获得感、幸福感；</w:t>
      </w:r>
      <w:r>
        <w:rPr>
          <w:rFonts w:hint="eastAsia"/>
          <w:szCs w:val="32"/>
        </w:rPr>
        <w:t>优化城市功能布局，</w:t>
      </w:r>
      <w:r>
        <w:rPr>
          <w:rFonts w:hint="eastAsia" w:ascii="Times New Roman" w:hAnsi="Times New Roman"/>
        </w:rPr>
        <w:t>精细落实安居保障、公共服务设施、市政基础设施等</w:t>
      </w:r>
      <w:r>
        <w:rPr>
          <w:rFonts w:ascii="Times New Roman" w:hAnsi="Times New Roman"/>
        </w:rPr>
        <w:t>143</w:t>
      </w:r>
      <w:r>
        <w:rPr>
          <w:rFonts w:hint="eastAsia" w:ascii="Times New Roman" w:hAnsi="Times New Roman"/>
        </w:rPr>
        <w:t>个新都市建设项目，</w:t>
      </w:r>
      <w:r>
        <w:rPr>
          <w:rFonts w:hint="eastAsia"/>
          <w:szCs w:val="32"/>
        </w:rPr>
        <w:t>加大垃圾分类、公厕新改建等行动力度，</w:t>
      </w:r>
      <w:r>
        <w:rPr>
          <w:szCs w:val="32"/>
        </w:rPr>
        <w:t>建设开放博物馆、大剧院等文化设施</w:t>
      </w:r>
      <w:r>
        <w:rPr>
          <w:rFonts w:hint="eastAsia"/>
          <w:szCs w:val="32"/>
        </w:rPr>
        <w:t>；</w:t>
      </w:r>
      <w:r>
        <w:rPr>
          <w:rFonts w:hint="eastAsia" w:ascii="方正仿宋简体" w:hAnsi="Times New Roman"/>
          <w:szCs w:val="32"/>
        </w:rPr>
        <w:t>着力补齐生态保护短板，</w:t>
      </w:r>
      <w:r>
        <w:rPr>
          <w:rFonts w:hint="eastAsia" w:ascii="方正仿宋简体"/>
          <w:szCs w:val="32"/>
        </w:rPr>
        <w:t>将长江生态修复摆在压倒性位置，</w:t>
      </w:r>
      <w:r>
        <w:rPr>
          <w:rFonts w:hint="eastAsia" w:ascii="方正仿宋简体" w:hAnsi="Times New Roman" w:cs="方正楷体简体"/>
          <w:bCs/>
          <w:szCs w:val="32"/>
        </w:rPr>
        <w:t>全面打赢污染防治三大战役；</w:t>
      </w:r>
      <w:r>
        <w:rPr>
          <w:rFonts w:ascii="Times New Roman" w:hAnsi="Times New Roman"/>
        </w:rPr>
        <w:t>完善多方参与的</w:t>
      </w:r>
      <w:r>
        <w:rPr>
          <w:rFonts w:hint="eastAsia" w:ascii="Times New Roman" w:hAnsi="Times New Roman"/>
        </w:rPr>
        <w:t>社会</w:t>
      </w:r>
      <w:r>
        <w:rPr>
          <w:rFonts w:ascii="Times New Roman" w:hAnsi="Times New Roman"/>
        </w:rPr>
        <w:t>治理结构，创新互动融合的治理方式，形成共建共治共享的</w:t>
      </w:r>
      <w:r>
        <w:rPr>
          <w:rFonts w:hint="eastAsia" w:ascii="Times New Roman" w:hAnsi="Times New Roman"/>
        </w:rPr>
        <w:t>城市</w:t>
      </w:r>
      <w:r>
        <w:rPr>
          <w:rFonts w:ascii="Times New Roman" w:hAnsi="Times New Roman"/>
        </w:rPr>
        <w:t>治理体系</w:t>
      </w:r>
      <w:r>
        <w:rPr>
          <w:rFonts w:hint="eastAsia" w:ascii="Times New Roman" w:hAnsi="Times New Roman"/>
        </w:rPr>
        <w:t>。</w:t>
      </w:r>
    </w:p>
    <w:p>
      <w:pPr>
        <w:spacing w:line="540" w:lineRule="exact"/>
        <w:ind w:firstLine="632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以上报告请予审议！</w:t>
      </w:r>
    </w:p>
    <w:p/>
    <w:p/>
    <w:sectPr>
      <w:footerReference r:id="rId3" w:type="default"/>
      <w:footerReference r:id="rId4" w:type="even"/>
      <w:pgSz w:w="11906" w:h="16838"/>
      <w:pgMar w:top="1588" w:right="1588" w:bottom="1588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eastAsia="宋体"/>
        <w:sz w:val="28"/>
        <w:szCs w:val="28"/>
      </w:rPr>
    </w:pPr>
    <w:r>
      <w:rPr>
        <w:rStyle w:val="6"/>
        <w:rFonts w:ascii="Times New Roman" w:hAnsi="Times New Roman" w:eastAsia="宋体"/>
        <w:sz w:val="28"/>
        <w:szCs w:val="28"/>
      </w:rPr>
      <w:t xml:space="preserve">— </w:t>
    </w:r>
    <w:r>
      <w:rPr>
        <w:rFonts w:ascii="Times New Roman" w:hAnsi="Times New Roman" w:eastAsia="宋体"/>
        <w:sz w:val="28"/>
        <w:szCs w:val="28"/>
      </w:rPr>
      <w:fldChar w:fldCharType="begin"/>
    </w:r>
    <w:r>
      <w:rPr>
        <w:rStyle w:val="6"/>
        <w:rFonts w:ascii="Times New Roman" w:hAnsi="Times New Roman" w:eastAsia="宋体"/>
        <w:sz w:val="28"/>
        <w:szCs w:val="28"/>
      </w:rPr>
      <w:instrText xml:space="preserve">PAGE  </w:instrText>
    </w:r>
    <w:r>
      <w:rPr>
        <w:rFonts w:ascii="Times New Roman" w:hAnsi="Times New Roman" w:eastAsia="宋体"/>
        <w:sz w:val="28"/>
        <w:szCs w:val="28"/>
      </w:rPr>
      <w:fldChar w:fldCharType="separate"/>
    </w:r>
    <w:r>
      <w:rPr>
        <w:rStyle w:val="6"/>
        <w:rFonts w:ascii="Times New Roman" w:hAnsi="Times New Roman" w:eastAsia="宋体"/>
        <w:sz w:val="28"/>
        <w:szCs w:val="28"/>
      </w:rPr>
      <w:t>12</w:t>
    </w:r>
    <w:r>
      <w:rPr>
        <w:rFonts w:ascii="Times New Roman" w:hAnsi="Times New Roman" w:eastAsia="宋体"/>
        <w:sz w:val="28"/>
        <w:szCs w:val="28"/>
      </w:rPr>
      <w:fldChar w:fldCharType="end"/>
    </w:r>
    <w:r>
      <w:rPr>
        <w:rStyle w:val="6"/>
        <w:rFonts w:ascii="Times New Roman" w:hAnsi="Times New Roman" w:eastAsia="宋体"/>
        <w:sz w:val="28"/>
        <w:szCs w:val="28"/>
      </w:rPr>
      <w:t xml:space="preserve"> —</w:t>
    </w:r>
  </w:p>
  <w:p>
    <w:pPr>
      <w:pStyle w:val="2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F5"/>
    <w:rsid w:val="00002152"/>
    <w:rsid w:val="00003BB9"/>
    <w:rsid w:val="00017186"/>
    <w:rsid w:val="00022F92"/>
    <w:rsid w:val="00023101"/>
    <w:rsid w:val="0002365E"/>
    <w:rsid w:val="0002576D"/>
    <w:rsid w:val="000257E9"/>
    <w:rsid w:val="00030BCA"/>
    <w:rsid w:val="00031A46"/>
    <w:rsid w:val="000335CB"/>
    <w:rsid w:val="00033BD9"/>
    <w:rsid w:val="00034755"/>
    <w:rsid w:val="00034E67"/>
    <w:rsid w:val="000403F6"/>
    <w:rsid w:val="0004403E"/>
    <w:rsid w:val="00046FA4"/>
    <w:rsid w:val="000475AF"/>
    <w:rsid w:val="00053A3C"/>
    <w:rsid w:val="00061927"/>
    <w:rsid w:val="00062200"/>
    <w:rsid w:val="00064971"/>
    <w:rsid w:val="00064CCB"/>
    <w:rsid w:val="0006656A"/>
    <w:rsid w:val="000702F5"/>
    <w:rsid w:val="00072883"/>
    <w:rsid w:val="00074B21"/>
    <w:rsid w:val="000753F8"/>
    <w:rsid w:val="00076220"/>
    <w:rsid w:val="00077637"/>
    <w:rsid w:val="0008083B"/>
    <w:rsid w:val="00081120"/>
    <w:rsid w:val="00082319"/>
    <w:rsid w:val="00083443"/>
    <w:rsid w:val="00087BB4"/>
    <w:rsid w:val="000A2F5C"/>
    <w:rsid w:val="000A3A22"/>
    <w:rsid w:val="000A4AA4"/>
    <w:rsid w:val="000A5C8A"/>
    <w:rsid w:val="000A66B7"/>
    <w:rsid w:val="000B0D3A"/>
    <w:rsid w:val="000B300C"/>
    <w:rsid w:val="000B36B6"/>
    <w:rsid w:val="000C0588"/>
    <w:rsid w:val="000C06BB"/>
    <w:rsid w:val="000C0DD0"/>
    <w:rsid w:val="000C0F79"/>
    <w:rsid w:val="000C42EF"/>
    <w:rsid w:val="000D06B0"/>
    <w:rsid w:val="000D437C"/>
    <w:rsid w:val="000D7174"/>
    <w:rsid w:val="000E20B5"/>
    <w:rsid w:val="000E4D82"/>
    <w:rsid w:val="000F0E75"/>
    <w:rsid w:val="001060CE"/>
    <w:rsid w:val="00110DFB"/>
    <w:rsid w:val="00112C7F"/>
    <w:rsid w:val="00114710"/>
    <w:rsid w:val="00117AAE"/>
    <w:rsid w:val="00117B21"/>
    <w:rsid w:val="00120E87"/>
    <w:rsid w:val="001336F2"/>
    <w:rsid w:val="00133873"/>
    <w:rsid w:val="001346DA"/>
    <w:rsid w:val="001367F1"/>
    <w:rsid w:val="001405CC"/>
    <w:rsid w:val="00153CC0"/>
    <w:rsid w:val="00155DC0"/>
    <w:rsid w:val="00157155"/>
    <w:rsid w:val="001748DE"/>
    <w:rsid w:val="00180FDC"/>
    <w:rsid w:val="0018141E"/>
    <w:rsid w:val="00183040"/>
    <w:rsid w:val="001832FA"/>
    <w:rsid w:val="001835B3"/>
    <w:rsid w:val="001858F8"/>
    <w:rsid w:val="00194D49"/>
    <w:rsid w:val="00196B96"/>
    <w:rsid w:val="001A07B7"/>
    <w:rsid w:val="001A07EE"/>
    <w:rsid w:val="001A25FB"/>
    <w:rsid w:val="001A5C1D"/>
    <w:rsid w:val="001A6F05"/>
    <w:rsid w:val="001A7D0B"/>
    <w:rsid w:val="001B0D07"/>
    <w:rsid w:val="001B27C9"/>
    <w:rsid w:val="001B4CD8"/>
    <w:rsid w:val="001C34F0"/>
    <w:rsid w:val="001C438F"/>
    <w:rsid w:val="001C6DCD"/>
    <w:rsid w:val="001D0436"/>
    <w:rsid w:val="001D471B"/>
    <w:rsid w:val="001D55B5"/>
    <w:rsid w:val="001D7EE0"/>
    <w:rsid w:val="001E5AFD"/>
    <w:rsid w:val="001F0B51"/>
    <w:rsid w:val="001F1903"/>
    <w:rsid w:val="001F48F1"/>
    <w:rsid w:val="0020114C"/>
    <w:rsid w:val="00202066"/>
    <w:rsid w:val="00203D10"/>
    <w:rsid w:val="00204DCF"/>
    <w:rsid w:val="0020583A"/>
    <w:rsid w:val="002061A1"/>
    <w:rsid w:val="00210BE4"/>
    <w:rsid w:val="00211CED"/>
    <w:rsid w:val="00212322"/>
    <w:rsid w:val="00216E58"/>
    <w:rsid w:val="00224F9F"/>
    <w:rsid w:val="00225485"/>
    <w:rsid w:val="002265BB"/>
    <w:rsid w:val="00236530"/>
    <w:rsid w:val="00237144"/>
    <w:rsid w:val="002424F0"/>
    <w:rsid w:val="002438EC"/>
    <w:rsid w:val="002463BC"/>
    <w:rsid w:val="00246E1C"/>
    <w:rsid w:val="00247686"/>
    <w:rsid w:val="00250085"/>
    <w:rsid w:val="0025198D"/>
    <w:rsid w:val="00252915"/>
    <w:rsid w:val="00254BDF"/>
    <w:rsid w:val="00261B7F"/>
    <w:rsid w:val="002624A6"/>
    <w:rsid w:val="00263394"/>
    <w:rsid w:val="002649C9"/>
    <w:rsid w:val="002663C1"/>
    <w:rsid w:val="002771B3"/>
    <w:rsid w:val="00291CF2"/>
    <w:rsid w:val="00293CE6"/>
    <w:rsid w:val="002950F7"/>
    <w:rsid w:val="002951CB"/>
    <w:rsid w:val="002A3BE3"/>
    <w:rsid w:val="002A4ABF"/>
    <w:rsid w:val="002A5C75"/>
    <w:rsid w:val="002B0928"/>
    <w:rsid w:val="002B1917"/>
    <w:rsid w:val="002B562C"/>
    <w:rsid w:val="002C0CF2"/>
    <w:rsid w:val="002D02DE"/>
    <w:rsid w:val="002D5AF5"/>
    <w:rsid w:val="002E0049"/>
    <w:rsid w:val="002E18F0"/>
    <w:rsid w:val="002E4263"/>
    <w:rsid w:val="002E6C82"/>
    <w:rsid w:val="002E7814"/>
    <w:rsid w:val="002F14D0"/>
    <w:rsid w:val="002F2F4E"/>
    <w:rsid w:val="002F348B"/>
    <w:rsid w:val="002F6ABB"/>
    <w:rsid w:val="002F6DE5"/>
    <w:rsid w:val="002F76ED"/>
    <w:rsid w:val="00300C4B"/>
    <w:rsid w:val="00301B9A"/>
    <w:rsid w:val="00301E58"/>
    <w:rsid w:val="00303B77"/>
    <w:rsid w:val="00314474"/>
    <w:rsid w:val="00314663"/>
    <w:rsid w:val="00317B11"/>
    <w:rsid w:val="0032008A"/>
    <w:rsid w:val="003222A1"/>
    <w:rsid w:val="0032312B"/>
    <w:rsid w:val="00325459"/>
    <w:rsid w:val="00330048"/>
    <w:rsid w:val="00333A1A"/>
    <w:rsid w:val="003357D5"/>
    <w:rsid w:val="00335C2F"/>
    <w:rsid w:val="00342361"/>
    <w:rsid w:val="003433C6"/>
    <w:rsid w:val="00344DF0"/>
    <w:rsid w:val="00346445"/>
    <w:rsid w:val="00350ECB"/>
    <w:rsid w:val="003513C4"/>
    <w:rsid w:val="00353CF4"/>
    <w:rsid w:val="00356D83"/>
    <w:rsid w:val="00360B68"/>
    <w:rsid w:val="00360F3B"/>
    <w:rsid w:val="0036226C"/>
    <w:rsid w:val="003666A6"/>
    <w:rsid w:val="00380A2F"/>
    <w:rsid w:val="00380D51"/>
    <w:rsid w:val="00382F94"/>
    <w:rsid w:val="00383507"/>
    <w:rsid w:val="00384A85"/>
    <w:rsid w:val="00391155"/>
    <w:rsid w:val="003916E0"/>
    <w:rsid w:val="003959F7"/>
    <w:rsid w:val="00396B4F"/>
    <w:rsid w:val="003A2165"/>
    <w:rsid w:val="003A378F"/>
    <w:rsid w:val="003A4DB9"/>
    <w:rsid w:val="003A4F89"/>
    <w:rsid w:val="003A6A3F"/>
    <w:rsid w:val="003B47B7"/>
    <w:rsid w:val="003B4E6A"/>
    <w:rsid w:val="003B66AA"/>
    <w:rsid w:val="003B72B1"/>
    <w:rsid w:val="003C022B"/>
    <w:rsid w:val="003C09AF"/>
    <w:rsid w:val="003E043B"/>
    <w:rsid w:val="003F40E9"/>
    <w:rsid w:val="003F6457"/>
    <w:rsid w:val="00400929"/>
    <w:rsid w:val="004020D1"/>
    <w:rsid w:val="004055EE"/>
    <w:rsid w:val="004056A9"/>
    <w:rsid w:val="00411341"/>
    <w:rsid w:val="00411DB7"/>
    <w:rsid w:val="004127CF"/>
    <w:rsid w:val="004142A6"/>
    <w:rsid w:val="00415510"/>
    <w:rsid w:val="004158BE"/>
    <w:rsid w:val="00415A63"/>
    <w:rsid w:val="004254AB"/>
    <w:rsid w:val="00430665"/>
    <w:rsid w:val="004324CB"/>
    <w:rsid w:val="004331BC"/>
    <w:rsid w:val="0043667E"/>
    <w:rsid w:val="00436F62"/>
    <w:rsid w:val="00437438"/>
    <w:rsid w:val="004417E8"/>
    <w:rsid w:val="00445C0D"/>
    <w:rsid w:val="00445E5A"/>
    <w:rsid w:val="00447C8D"/>
    <w:rsid w:val="00454177"/>
    <w:rsid w:val="0045505E"/>
    <w:rsid w:val="00462531"/>
    <w:rsid w:val="004629F4"/>
    <w:rsid w:val="00462EC3"/>
    <w:rsid w:val="00462ECD"/>
    <w:rsid w:val="004645B5"/>
    <w:rsid w:val="00471F6A"/>
    <w:rsid w:val="00473BF3"/>
    <w:rsid w:val="00474FDF"/>
    <w:rsid w:val="0047608F"/>
    <w:rsid w:val="004760B2"/>
    <w:rsid w:val="004761FB"/>
    <w:rsid w:val="004774BE"/>
    <w:rsid w:val="00477C54"/>
    <w:rsid w:val="004842C6"/>
    <w:rsid w:val="00484B43"/>
    <w:rsid w:val="00485983"/>
    <w:rsid w:val="00485DEA"/>
    <w:rsid w:val="004916DA"/>
    <w:rsid w:val="00491826"/>
    <w:rsid w:val="00493C98"/>
    <w:rsid w:val="004A04B0"/>
    <w:rsid w:val="004A0863"/>
    <w:rsid w:val="004A2A57"/>
    <w:rsid w:val="004A3048"/>
    <w:rsid w:val="004A52F8"/>
    <w:rsid w:val="004B30D1"/>
    <w:rsid w:val="004B47EC"/>
    <w:rsid w:val="004B4A6B"/>
    <w:rsid w:val="004C20D9"/>
    <w:rsid w:val="004D00BD"/>
    <w:rsid w:val="004D0605"/>
    <w:rsid w:val="004D0EEE"/>
    <w:rsid w:val="004D1282"/>
    <w:rsid w:val="004D30F5"/>
    <w:rsid w:val="004D3570"/>
    <w:rsid w:val="004D7079"/>
    <w:rsid w:val="004D78D1"/>
    <w:rsid w:val="004D795F"/>
    <w:rsid w:val="004E2FD9"/>
    <w:rsid w:val="004F3119"/>
    <w:rsid w:val="004F7730"/>
    <w:rsid w:val="00501FB5"/>
    <w:rsid w:val="00502E89"/>
    <w:rsid w:val="00505502"/>
    <w:rsid w:val="005058D2"/>
    <w:rsid w:val="00506BD9"/>
    <w:rsid w:val="00510777"/>
    <w:rsid w:val="005118CB"/>
    <w:rsid w:val="00512D81"/>
    <w:rsid w:val="0051389C"/>
    <w:rsid w:val="00516736"/>
    <w:rsid w:val="00517E23"/>
    <w:rsid w:val="00524287"/>
    <w:rsid w:val="00524467"/>
    <w:rsid w:val="0052553F"/>
    <w:rsid w:val="00530AF5"/>
    <w:rsid w:val="005322F5"/>
    <w:rsid w:val="005355DB"/>
    <w:rsid w:val="00536445"/>
    <w:rsid w:val="00537161"/>
    <w:rsid w:val="005437BA"/>
    <w:rsid w:val="005443D6"/>
    <w:rsid w:val="00545952"/>
    <w:rsid w:val="00545CA1"/>
    <w:rsid w:val="005479B6"/>
    <w:rsid w:val="005518DC"/>
    <w:rsid w:val="005518FE"/>
    <w:rsid w:val="00555A5C"/>
    <w:rsid w:val="00557C44"/>
    <w:rsid w:val="0056079C"/>
    <w:rsid w:val="005638E3"/>
    <w:rsid w:val="00565D9B"/>
    <w:rsid w:val="00571801"/>
    <w:rsid w:val="005720A8"/>
    <w:rsid w:val="005725FD"/>
    <w:rsid w:val="0057541C"/>
    <w:rsid w:val="00575782"/>
    <w:rsid w:val="00581000"/>
    <w:rsid w:val="005829DF"/>
    <w:rsid w:val="00582F39"/>
    <w:rsid w:val="005848F6"/>
    <w:rsid w:val="00585FBE"/>
    <w:rsid w:val="0058637E"/>
    <w:rsid w:val="0058748B"/>
    <w:rsid w:val="00587FD5"/>
    <w:rsid w:val="005928A6"/>
    <w:rsid w:val="0059377B"/>
    <w:rsid w:val="00593940"/>
    <w:rsid w:val="00593D91"/>
    <w:rsid w:val="005A030C"/>
    <w:rsid w:val="005A50C4"/>
    <w:rsid w:val="005A6B65"/>
    <w:rsid w:val="005A704C"/>
    <w:rsid w:val="005A7745"/>
    <w:rsid w:val="005B243D"/>
    <w:rsid w:val="005B4C6A"/>
    <w:rsid w:val="005C041A"/>
    <w:rsid w:val="005C104E"/>
    <w:rsid w:val="005C145A"/>
    <w:rsid w:val="005C3B4F"/>
    <w:rsid w:val="005D3125"/>
    <w:rsid w:val="005D34F4"/>
    <w:rsid w:val="005D3F09"/>
    <w:rsid w:val="005D6FD8"/>
    <w:rsid w:val="005D75A9"/>
    <w:rsid w:val="005E1DF2"/>
    <w:rsid w:val="005E7F11"/>
    <w:rsid w:val="005F427E"/>
    <w:rsid w:val="006004E3"/>
    <w:rsid w:val="006034C2"/>
    <w:rsid w:val="00603912"/>
    <w:rsid w:val="006070B2"/>
    <w:rsid w:val="0060756D"/>
    <w:rsid w:val="00610F4E"/>
    <w:rsid w:val="00611CD8"/>
    <w:rsid w:val="00613283"/>
    <w:rsid w:val="00617E4B"/>
    <w:rsid w:val="00620D8F"/>
    <w:rsid w:val="00623306"/>
    <w:rsid w:val="006241FA"/>
    <w:rsid w:val="006266EF"/>
    <w:rsid w:val="00627AEF"/>
    <w:rsid w:val="006343F7"/>
    <w:rsid w:val="006407F3"/>
    <w:rsid w:val="00642ADF"/>
    <w:rsid w:val="006432C1"/>
    <w:rsid w:val="00652C14"/>
    <w:rsid w:val="0065351D"/>
    <w:rsid w:val="00654A62"/>
    <w:rsid w:val="00654FB3"/>
    <w:rsid w:val="00656504"/>
    <w:rsid w:val="006602D3"/>
    <w:rsid w:val="00660899"/>
    <w:rsid w:val="006652B2"/>
    <w:rsid w:val="006665DD"/>
    <w:rsid w:val="00667EBE"/>
    <w:rsid w:val="00671DE2"/>
    <w:rsid w:val="00672737"/>
    <w:rsid w:val="0067469C"/>
    <w:rsid w:val="00683A37"/>
    <w:rsid w:val="00685A29"/>
    <w:rsid w:val="00686574"/>
    <w:rsid w:val="00690846"/>
    <w:rsid w:val="006920B3"/>
    <w:rsid w:val="0069363B"/>
    <w:rsid w:val="00695B7A"/>
    <w:rsid w:val="006A0615"/>
    <w:rsid w:val="006A0AD5"/>
    <w:rsid w:val="006A11EB"/>
    <w:rsid w:val="006A5AF3"/>
    <w:rsid w:val="006B354C"/>
    <w:rsid w:val="006B4B14"/>
    <w:rsid w:val="006B76A3"/>
    <w:rsid w:val="006C1C4D"/>
    <w:rsid w:val="006C3D45"/>
    <w:rsid w:val="006C4EC9"/>
    <w:rsid w:val="006D7017"/>
    <w:rsid w:val="006E07B3"/>
    <w:rsid w:val="006E3D57"/>
    <w:rsid w:val="006E49A1"/>
    <w:rsid w:val="006E5C3B"/>
    <w:rsid w:val="006F02C2"/>
    <w:rsid w:val="006F24DF"/>
    <w:rsid w:val="006F33DE"/>
    <w:rsid w:val="00702EE7"/>
    <w:rsid w:val="00706C9A"/>
    <w:rsid w:val="007113F7"/>
    <w:rsid w:val="007115D3"/>
    <w:rsid w:val="007217CB"/>
    <w:rsid w:val="0072525E"/>
    <w:rsid w:val="007257C1"/>
    <w:rsid w:val="00726944"/>
    <w:rsid w:val="00731B97"/>
    <w:rsid w:val="007350A0"/>
    <w:rsid w:val="00736255"/>
    <w:rsid w:val="007402B5"/>
    <w:rsid w:val="00741454"/>
    <w:rsid w:val="00741900"/>
    <w:rsid w:val="00741D71"/>
    <w:rsid w:val="007479A1"/>
    <w:rsid w:val="00750224"/>
    <w:rsid w:val="00751D86"/>
    <w:rsid w:val="00760ADC"/>
    <w:rsid w:val="007610DE"/>
    <w:rsid w:val="00761DEC"/>
    <w:rsid w:val="007633EC"/>
    <w:rsid w:val="007636A5"/>
    <w:rsid w:val="00764A44"/>
    <w:rsid w:val="00767868"/>
    <w:rsid w:val="00767AAC"/>
    <w:rsid w:val="007733E7"/>
    <w:rsid w:val="0077455C"/>
    <w:rsid w:val="007765A5"/>
    <w:rsid w:val="0078319B"/>
    <w:rsid w:val="007849AE"/>
    <w:rsid w:val="00785242"/>
    <w:rsid w:val="007864B3"/>
    <w:rsid w:val="00787E7F"/>
    <w:rsid w:val="00790353"/>
    <w:rsid w:val="007919A0"/>
    <w:rsid w:val="00792B3D"/>
    <w:rsid w:val="00792C1B"/>
    <w:rsid w:val="00796A61"/>
    <w:rsid w:val="007A2FA1"/>
    <w:rsid w:val="007A32E4"/>
    <w:rsid w:val="007A41DF"/>
    <w:rsid w:val="007B1546"/>
    <w:rsid w:val="007B6086"/>
    <w:rsid w:val="007B78DC"/>
    <w:rsid w:val="007B7EDC"/>
    <w:rsid w:val="007C052A"/>
    <w:rsid w:val="007C3D92"/>
    <w:rsid w:val="007C56AD"/>
    <w:rsid w:val="007D3F0D"/>
    <w:rsid w:val="007D4774"/>
    <w:rsid w:val="007D761C"/>
    <w:rsid w:val="007D7E25"/>
    <w:rsid w:val="007E0570"/>
    <w:rsid w:val="007F43E1"/>
    <w:rsid w:val="007F6483"/>
    <w:rsid w:val="007F79A2"/>
    <w:rsid w:val="00800089"/>
    <w:rsid w:val="008018D2"/>
    <w:rsid w:val="00801F43"/>
    <w:rsid w:val="00805F78"/>
    <w:rsid w:val="00810484"/>
    <w:rsid w:val="008107B0"/>
    <w:rsid w:val="0081206B"/>
    <w:rsid w:val="00813F88"/>
    <w:rsid w:val="008143F2"/>
    <w:rsid w:val="00815652"/>
    <w:rsid w:val="00817261"/>
    <w:rsid w:val="00820699"/>
    <w:rsid w:val="00821000"/>
    <w:rsid w:val="00821004"/>
    <w:rsid w:val="00825B08"/>
    <w:rsid w:val="00826EEC"/>
    <w:rsid w:val="00830900"/>
    <w:rsid w:val="008311D5"/>
    <w:rsid w:val="00834DBF"/>
    <w:rsid w:val="00835A79"/>
    <w:rsid w:val="0084335E"/>
    <w:rsid w:val="00844D01"/>
    <w:rsid w:val="008505ED"/>
    <w:rsid w:val="00850BBE"/>
    <w:rsid w:val="00853A12"/>
    <w:rsid w:val="00854FA6"/>
    <w:rsid w:val="008635B8"/>
    <w:rsid w:val="00863BEA"/>
    <w:rsid w:val="00867D17"/>
    <w:rsid w:val="00871AD0"/>
    <w:rsid w:val="0087719D"/>
    <w:rsid w:val="008818C7"/>
    <w:rsid w:val="00882495"/>
    <w:rsid w:val="00884E05"/>
    <w:rsid w:val="00885FD2"/>
    <w:rsid w:val="0088607E"/>
    <w:rsid w:val="008866AD"/>
    <w:rsid w:val="008876F3"/>
    <w:rsid w:val="00890ED4"/>
    <w:rsid w:val="00891A8C"/>
    <w:rsid w:val="0089249F"/>
    <w:rsid w:val="00893039"/>
    <w:rsid w:val="0089677B"/>
    <w:rsid w:val="00897A50"/>
    <w:rsid w:val="00897AE4"/>
    <w:rsid w:val="008A0D56"/>
    <w:rsid w:val="008A0D9B"/>
    <w:rsid w:val="008A256E"/>
    <w:rsid w:val="008A55F1"/>
    <w:rsid w:val="008A65CB"/>
    <w:rsid w:val="008B2194"/>
    <w:rsid w:val="008B27B8"/>
    <w:rsid w:val="008B3105"/>
    <w:rsid w:val="008B3F2B"/>
    <w:rsid w:val="008B688A"/>
    <w:rsid w:val="008C000F"/>
    <w:rsid w:val="008C2901"/>
    <w:rsid w:val="008C367B"/>
    <w:rsid w:val="008C61D0"/>
    <w:rsid w:val="008C6276"/>
    <w:rsid w:val="008D10C9"/>
    <w:rsid w:val="008D1737"/>
    <w:rsid w:val="008E057F"/>
    <w:rsid w:val="008E09B3"/>
    <w:rsid w:val="008E09DD"/>
    <w:rsid w:val="008E2021"/>
    <w:rsid w:val="008E229A"/>
    <w:rsid w:val="008E39A7"/>
    <w:rsid w:val="008E44F2"/>
    <w:rsid w:val="008F2DF2"/>
    <w:rsid w:val="008F3EFC"/>
    <w:rsid w:val="008F410F"/>
    <w:rsid w:val="008F4D29"/>
    <w:rsid w:val="008F66B4"/>
    <w:rsid w:val="008F793E"/>
    <w:rsid w:val="00900174"/>
    <w:rsid w:val="0090109B"/>
    <w:rsid w:val="0091252C"/>
    <w:rsid w:val="0091333B"/>
    <w:rsid w:val="0091537B"/>
    <w:rsid w:val="00915A93"/>
    <w:rsid w:val="00921216"/>
    <w:rsid w:val="00924405"/>
    <w:rsid w:val="009274DF"/>
    <w:rsid w:val="00930029"/>
    <w:rsid w:val="009338C2"/>
    <w:rsid w:val="0093558F"/>
    <w:rsid w:val="00935B08"/>
    <w:rsid w:val="00937DB5"/>
    <w:rsid w:val="00942348"/>
    <w:rsid w:val="0094309F"/>
    <w:rsid w:val="0094394B"/>
    <w:rsid w:val="0094723A"/>
    <w:rsid w:val="00962B6F"/>
    <w:rsid w:val="009725B4"/>
    <w:rsid w:val="009728E2"/>
    <w:rsid w:val="00973B3D"/>
    <w:rsid w:val="009742C5"/>
    <w:rsid w:val="009753BF"/>
    <w:rsid w:val="009761E6"/>
    <w:rsid w:val="0098064B"/>
    <w:rsid w:val="009822DA"/>
    <w:rsid w:val="00982F04"/>
    <w:rsid w:val="00987A6D"/>
    <w:rsid w:val="00990E6C"/>
    <w:rsid w:val="009924D0"/>
    <w:rsid w:val="0099352B"/>
    <w:rsid w:val="00995351"/>
    <w:rsid w:val="009A30B3"/>
    <w:rsid w:val="009A435D"/>
    <w:rsid w:val="009A4D02"/>
    <w:rsid w:val="009B72E1"/>
    <w:rsid w:val="009C1F3B"/>
    <w:rsid w:val="009C2B1D"/>
    <w:rsid w:val="009C3423"/>
    <w:rsid w:val="009C64C3"/>
    <w:rsid w:val="009D07F1"/>
    <w:rsid w:val="009D2606"/>
    <w:rsid w:val="009D2CBE"/>
    <w:rsid w:val="009E04C4"/>
    <w:rsid w:val="009E21BC"/>
    <w:rsid w:val="009E470A"/>
    <w:rsid w:val="009F1D63"/>
    <w:rsid w:val="009F3393"/>
    <w:rsid w:val="009F50AA"/>
    <w:rsid w:val="009F5CFE"/>
    <w:rsid w:val="009F7BC9"/>
    <w:rsid w:val="00A0555C"/>
    <w:rsid w:val="00A11988"/>
    <w:rsid w:val="00A13B77"/>
    <w:rsid w:val="00A14390"/>
    <w:rsid w:val="00A2755F"/>
    <w:rsid w:val="00A35A67"/>
    <w:rsid w:val="00A35DBC"/>
    <w:rsid w:val="00A406DA"/>
    <w:rsid w:val="00A424F4"/>
    <w:rsid w:val="00A43AC8"/>
    <w:rsid w:val="00A4707E"/>
    <w:rsid w:val="00A47A47"/>
    <w:rsid w:val="00A639F2"/>
    <w:rsid w:val="00A63BDE"/>
    <w:rsid w:val="00A701F7"/>
    <w:rsid w:val="00A710C0"/>
    <w:rsid w:val="00A71502"/>
    <w:rsid w:val="00A72019"/>
    <w:rsid w:val="00A72D0F"/>
    <w:rsid w:val="00A73E40"/>
    <w:rsid w:val="00A742B8"/>
    <w:rsid w:val="00A76C07"/>
    <w:rsid w:val="00A77B0E"/>
    <w:rsid w:val="00A80390"/>
    <w:rsid w:val="00A8231C"/>
    <w:rsid w:val="00A82C18"/>
    <w:rsid w:val="00A83131"/>
    <w:rsid w:val="00A83D92"/>
    <w:rsid w:val="00A842AB"/>
    <w:rsid w:val="00A854B2"/>
    <w:rsid w:val="00A85DBE"/>
    <w:rsid w:val="00A863D3"/>
    <w:rsid w:val="00A86C45"/>
    <w:rsid w:val="00A96466"/>
    <w:rsid w:val="00A9747C"/>
    <w:rsid w:val="00A97A4A"/>
    <w:rsid w:val="00AA1CBD"/>
    <w:rsid w:val="00AA2F96"/>
    <w:rsid w:val="00AB178B"/>
    <w:rsid w:val="00AB28A5"/>
    <w:rsid w:val="00AB2CA9"/>
    <w:rsid w:val="00AB3122"/>
    <w:rsid w:val="00AB32ED"/>
    <w:rsid w:val="00AB728E"/>
    <w:rsid w:val="00AC07DD"/>
    <w:rsid w:val="00AC1A6F"/>
    <w:rsid w:val="00AC2563"/>
    <w:rsid w:val="00AC3DB7"/>
    <w:rsid w:val="00AC7C42"/>
    <w:rsid w:val="00AD13AB"/>
    <w:rsid w:val="00AD1A41"/>
    <w:rsid w:val="00AD2C45"/>
    <w:rsid w:val="00AD66C2"/>
    <w:rsid w:val="00AE32BC"/>
    <w:rsid w:val="00AE381B"/>
    <w:rsid w:val="00AE57DB"/>
    <w:rsid w:val="00AE70C3"/>
    <w:rsid w:val="00AF0CB3"/>
    <w:rsid w:val="00AF0D25"/>
    <w:rsid w:val="00AF7B7B"/>
    <w:rsid w:val="00B00855"/>
    <w:rsid w:val="00B048D1"/>
    <w:rsid w:val="00B05E6C"/>
    <w:rsid w:val="00B0685E"/>
    <w:rsid w:val="00B07B1F"/>
    <w:rsid w:val="00B07D7B"/>
    <w:rsid w:val="00B16461"/>
    <w:rsid w:val="00B178DF"/>
    <w:rsid w:val="00B2205F"/>
    <w:rsid w:val="00B22D87"/>
    <w:rsid w:val="00B23723"/>
    <w:rsid w:val="00B312E3"/>
    <w:rsid w:val="00B34F9C"/>
    <w:rsid w:val="00B401AC"/>
    <w:rsid w:val="00B40245"/>
    <w:rsid w:val="00B409B9"/>
    <w:rsid w:val="00B4357E"/>
    <w:rsid w:val="00B50664"/>
    <w:rsid w:val="00B5188C"/>
    <w:rsid w:val="00B54CC2"/>
    <w:rsid w:val="00B55E3D"/>
    <w:rsid w:val="00B62F31"/>
    <w:rsid w:val="00B62FE2"/>
    <w:rsid w:val="00B64AE5"/>
    <w:rsid w:val="00B66E74"/>
    <w:rsid w:val="00B67C84"/>
    <w:rsid w:val="00B70F2F"/>
    <w:rsid w:val="00B76E0D"/>
    <w:rsid w:val="00B801D0"/>
    <w:rsid w:val="00B818EA"/>
    <w:rsid w:val="00B852C0"/>
    <w:rsid w:val="00B87DC5"/>
    <w:rsid w:val="00B905BF"/>
    <w:rsid w:val="00B933EA"/>
    <w:rsid w:val="00BA4DB7"/>
    <w:rsid w:val="00BB0D02"/>
    <w:rsid w:val="00BC3C7D"/>
    <w:rsid w:val="00BC54C5"/>
    <w:rsid w:val="00BC72F9"/>
    <w:rsid w:val="00BD63C4"/>
    <w:rsid w:val="00BD6561"/>
    <w:rsid w:val="00BD6834"/>
    <w:rsid w:val="00BD6CB7"/>
    <w:rsid w:val="00BD7213"/>
    <w:rsid w:val="00BD77E2"/>
    <w:rsid w:val="00BE4D54"/>
    <w:rsid w:val="00BE5549"/>
    <w:rsid w:val="00BE62B3"/>
    <w:rsid w:val="00BE6A22"/>
    <w:rsid w:val="00BF0867"/>
    <w:rsid w:val="00C04C75"/>
    <w:rsid w:val="00C07D4E"/>
    <w:rsid w:val="00C10690"/>
    <w:rsid w:val="00C10F4D"/>
    <w:rsid w:val="00C22DAE"/>
    <w:rsid w:val="00C233C2"/>
    <w:rsid w:val="00C233D4"/>
    <w:rsid w:val="00C23A95"/>
    <w:rsid w:val="00C25E26"/>
    <w:rsid w:val="00C26DAE"/>
    <w:rsid w:val="00C27275"/>
    <w:rsid w:val="00C31615"/>
    <w:rsid w:val="00C32545"/>
    <w:rsid w:val="00C3587D"/>
    <w:rsid w:val="00C445FD"/>
    <w:rsid w:val="00C54116"/>
    <w:rsid w:val="00C560F5"/>
    <w:rsid w:val="00C65A74"/>
    <w:rsid w:val="00C72147"/>
    <w:rsid w:val="00C722D9"/>
    <w:rsid w:val="00C72BC8"/>
    <w:rsid w:val="00C73C4E"/>
    <w:rsid w:val="00C80022"/>
    <w:rsid w:val="00C8010F"/>
    <w:rsid w:val="00C8041A"/>
    <w:rsid w:val="00C80B67"/>
    <w:rsid w:val="00C822D2"/>
    <w:rsid w:val="00C827C7"/>
    <w:rsid w:val="00C866AA"/>
    <w:rsid w:val="00C934D9"/>
    <w:rsid w:val="00C93D73"/>
    <w:rsid w:val="00C93F89"/>
    <w:rsid w:val="00C95841"/>
    <w:rsid w:val="00CB7755"/>
    <w:rsid w:val="00CC4ECF"/>
    <w:rsid w:val="00CC71D5"/>
    <w:rsid w:val="00CC7C95"/>
    <w:rsid w:val="00CD0A75"/>
    <w:rsid w:val="00CD14AE"/>
    <w:rsid w:val="00CD1D11"/>
    <w:rsid w:val="00CD2EA5"/>
    <w:rsid w:val="00CD5BC5"/>
    <w:rsid w:val="00CE441C"/>
    <w:rsid w:val="00CE4B2C"/>
    <w:rsid w:val="00CF24D2"/>
    <w:rsid w:val="00CF27CF"/>
    <w:rsid w:val="00CF5D46"/>
    <w:rsid w:val="00CF5F91"/>
    <w:rsid w:val="00D00DC1"/>
    <w:rsid w:val="00D022BB"/>
    <w:rsid w:val="00D055DD"/>
    <w:rsid w:val="00D06A82"/>
    <w:rsid w:val="00D06E67"/>
    <w:rsid w:val="00D133F5"/>
    <w:rsid w:val="00D166BC"/>
    <w:rsid w:val="00D21430"/>
    <w:rsid w:val="00D214A9"/>
    <w:rsid w:val="00D225C0"/>
    <w:rsid w:val="00D310EF"/>
    <w:rsid w:val="00D3568E"/>
    <w:rsid w:val="00D411C2"/>
    <w:rsid w:val="00D45ED5"/>
    <w:rsid w:val="00D508A7"/>
    <w:rsid w:val="00D51111"/>
    <w:rsid w:val="00D5258B"/>
    <w:rsid w:val="00D533BF"/>
    <w:rsid w:val="00D53B9F"/>
    <w:rsid w:val="00D548E3"/>
    <w:rsid w:val="00D55024"/>
    <w:rsid w:val="00D614C3"/>
    <w:rsid w:val="00D6179B"/>
    <w:rsid w:val="00D6196D"/>
    <w:rsid w:val="00D622B8"/>
    <w:rsid w:val="00D70D61"/>
    <w:rsid w:val="00D7193C"/>
    <w:rsid w:val="00D731A2"/>
    <w:rsid w:val="00D73F4D"/>
    <w:rsid w:val="00D77A67"/>
    <w:rsid w:val="00D80FC8"/>
    <w:rsid w:val="00D81C11"/>
    <w:rsid w:val="00D829B8"/>
    <w:rsid w:val="00D84CAD"/>
    <w:rsid w:val="00D860B6"/>
    <w:rsid w:val="00D95127"/>
    <w:rsid w:val="00D9651A"/>
    <w:rsid w:val="00DA029F"/>
    <w:rsid w:val="00DA0516"/>
    <w:rsid w:val="00DA0FF4"/>
    <w:rsid w:val="00DA119A"/>
    <w:rsid w:val="00DA4C2C"/>
    <w:rsid w:val="00DA502F"/>
    <w:rsid w:val="00DA5038"/>
    <w:rsid w:val="00DB40CF"/>
    <w:rsid w:val="00DB63CA"/>
    <w:rsid w:val="00DB7123"/>
    <w:rsid w:val="00DC36AB"/>
    <w:rsid w:val="00DC773D"/>
    <w:rsid w:val="00DC79DE"/>
    <w:rsid w:val="00DE35FB"/>
    <w:rsid w:val="00DE6291"/>
    <w:rsid w:val="00DE6B85"/>
    <w:rsid w:val="00DF65D9"/>
    <w:rsid w:val="00DF786A"/>
    <w:rsid w:val="00E04EA4"/>
    <w:rsid w:val="00E05676"/>
    <w:rsid w:val="00E10D61"/>
    <w:rsid w:val="00E11F5A"/>
    <w:rsid w:val="00E13626"/>
    <w:rsid w:val="00E23B37"/>
    <w:rsid w:val="00E241C6"/>
    <w:rsid w:val="00E2544B"/>
    <w:rsid w:val="00E30E53"/>
    <w:rsid w:val="00E34265"/>
    <w:rsid w:val="00E353F5"/>
    <w:rsid w:val="00E3668A"/>
    <w:rsid w:val="00E4153C"/>
    <w:rsid w:val="00E4243B"/>
    <w:rsid w:val="00E44DC9"/>
    <w:rsid w:val="00E4723A"/>
    <w:rsid w:val="00E57E7F"/>
    <w:rsid w:val="00E6083F"/>
    <w:rsid w:val="00E60C9F"/>
    <w:rsid w:val="00E62953"/>
    <w:rsid w:val="00E641E5"/>
    <w:rsid w:val="00E67262"/>
    <w:rsid w:val="00E67982"/>
    <w:rsid w:val="00E71F80"/>
    <w:rsid w:val="00E72521"/>
    <w:rsid w:val="00E72FD5"/>
    <w:rsid w:val="00E74F1A"/>
    <w:rsid w:val="00E7586B"/>
    <w:rsid w:val="00E76FFF"/>
    <w:rsid w:val="00E8201F"/>
    <w:rsid w:val="00E82A0B"/>
    <w:rsid w:val="00E879AE"/>
    <w:rsid w:val="00E92BF0"/>
    <w:rsid w:val="00E94024"/>
    <w:rsid w:val="00E949EF"/>
    <w:rsid w:val="00E952A5"/>
    <w:rsid w:val="00E9661C"/>
    <w:rsid w:val="00EA2CFE"/>
    <w:rsid w:val="00EA3D9D"/>
    <w:rsid w:val="00EA72B5"/>
    <w:rsid w:val="00EB1717"/>
    <w:rsid w:val="00EB321E"/>
    <w:rsid w:val="00EB3A6C"/>
    <w:rsid w:val="00EB59FD"/>
    <w:rsid w:val="00EB72F9"/>
    <w:rsid w:val="00EB7D05"/>
    <w:rsid w:val="00EC0804"/>
    <w:rsid w:val="00EC0B36"/>
    <w:rsid w:val="00EC0CF7"/>
    <w:rsid w:val="00ED0593"/>
    <w:rsid w:val="00ED1706"/>
    <w:rsid w:val="00ED2D64"/>
    <w:rsid w:val="00ED30A3"/>
    <w:rsid w:val="00ED3DC8"/>
    <w:rsid w:val="00ED3ED3"/>
    <w:rsid w:val="00ED410A"/>
    <w:rsid w:val="00ED784D"/>
    <w:rsid w:val="00EE19A7"/>
    <w:rsid w:val="00EF49F6"/>
    <w:rsid w:val="00F0122A"/>
    <w:rsid w:val="00F1206C"/>
    <w:rsid w:val="00F26D1C"/>
    <w:rsid w:val="00F31613"/>
    <w:rsid w:val="00F334F4"/>
    <w:rsid w:val="00F366FA"/>
    <w:rsid w:val="00F373B3"/>
    <w:rsid w:val="00F422E4"/>
    <w:rsid w:val="00F45435"/>
    <w:rsid w:val="00F462C6"/>
    <w:rsid w:val="00F4702A"/>
    <w:rsid w:val="00F51B88"/>
    <w:rsid w:val="00F6033E"/>
    <w:rsid w:val="00F62761"/>
    <w:rsid w:val="00F6460D"/>
    <w:rsid w:val="00F668B6"/>
    <w:rsid w:val="00F66D52"/>
    <w:rsid w:val="00F77D22"/>
    <w:rsid w:val="00F81BA0"/>
    <w:rsid w:val="00F81ECD"/>
    <w:rsid w:val="00F82019"/>
    <w:rsid w:val="00F827C7"/>
    <w:rsid w:val="00F85407"/>
    <w:rsid w:val="00F861B2"/>
    <w:rsid w:val="00F86C8F"/>
    <w:rsid w:val="00F9077A"/>
    <w:rsid w:val="00F91378"/>
    <w:rsid w:val="00F91759"/>
    <w:rsid w:val="00F943A2"/>
    <w:rsid w:val="00F94BF0"/>
    <w:rsid w:val="00F96099"/>
    <w:rsid w:val="00F967D5"/>
    <w:rsid w:val="00FA0EC4"/>
    <w:rsid w:val="00FA160D"/>
    <w:rsid w:val="00FA2CC7"/>
    <w:rsid w:val="00FA7670"/>
    <w:rsid w:val="00FA78F9"/>
    <w:rsid w:val="00FB4458"/>
    <w:rsid w:val="00FB6541"/>
    <w:rsid w:val="00FC4670"/>
    <w:rsid w:val="00FC54F5"/>
    <w:rsid w:val="00FC6E13"/>
    <w:rsid w:val="00FC7E18"/>
    <w:rsid w:val="00FD0837"/>
    <w:rsid w:val="00FD2BF9"/>
    <w:rsid w:val="00FE0377"/>
    <w:rsid w:val="00FE0503"/>
    <w:rsid w:val="00FE0916"/>
    <w:rsid w:val="00FE53B1"/>
    <w:rsid w:val="00FE61E8"/>
    <w:rsid w:val="00FE70B5"/>
    <w:rsid w:val="00FF0224"/>
    <w:rsid w:val="00FF0982"/>
    <w:rsid w:val="00FF3CF1"/>
    <w:rsid w:val="00FF7C23"/>
    <w:rsid w:val="0ECF2F61"/>
    <w:rsid w:val="6672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方正仿宋简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1211</Words>
  <Characters>6903</Characters>
  <Lines>57</Lines>
  <Paragraphs>16</Paragraphs>
  <TotalTime>595</TotalTime>
  <ScaleCrop>false</ScaleCrop>
  <LinksUpToDate>false</LinksUpToDate>
  <CharactersWithSpaces>8098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2020-07-31T00:54:00Z</dcterms:created>
  <dc:creator>秦怡(qinyi)</dc:creator>
  <cp:lastModifiedBy>ling</cp:lastModifiedBy>
  <cp:lastPrinted>2020-08-28T01:19:00Z</cp:lastPrinted>
  <dcterms:modified xsi:type="dcterms:W3CDTF">2020-12-16T08:23:56Z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