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11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val="en-US" w:eastAsia="zh-CN"/>
        </w:rPr>
        <w:t>22</w:t>
      </w:r>
      <w:r>
        <w:rPr>
          <w:rFonts w:ascii="宋体" w:hAnsi="宋体" w:eastAsia="宋体" w:cs="宋体"/>
          <w:b/>
          <w:kern w:val="11"/>
          <w:sz w:val="32"/>
          <w:szCs w:val="32"/>
        </w:rPr>
        <w:t>年金牛湖街道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eastAsia="zh-CN"/>
        </w:rPr>
        <w:t>“一事一议”</w:t>
      </w:r>
      <w:r>
        <w:rPr>
          <w:rFonts w:ascii="宋体" w:hAnsi="宋体" w:eastAsia="宋体" w:cs="宋体"/>
          <w:b/>
          <w:kern w:val="11"/>
          <w:sz w:val="32"/>
          <w:szCs w:val="32"/>
        </w:rPr>
        <w:t>项目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绩效评价报告</w:t>
      </w:r>
    </w:p>
    <w:p>
      <w:pPr>
        <w:widowControl/>
        <w:spacing w:line="560" w:lineRule="atLeast"/>
        <w:ind w:firstLine="640" w:firstLineChars="200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（一）项目基本情况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960" w:firstLineChars="3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根据省市关于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做好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2022年全省村级公益事业建设一事一议财政奖补工作的通知文件</w:t>
      </w:r>
      <w:r>
        <w:rPr>
          <w:rFonts w:hint="eastAsia" w:ascii="仿宋_GB2312" w:eastAsia="仿宋_GB2312"/>
          <w:color w:val="auto"/>
          <w:sz w:val="32"/>
          <w:szCs w:val="32"/>
        </w:rPr>
        <w:t>实施意见的部署和要求，以及区《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关于做好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2022年度村级公益事业建设“一事一议”财政奖补项目的通知</w:t>
      </w:r>
      <w:r>
        <w:rPr>
          <w:rFonts w:hint="eastAsia" w:ascii="仿宋_GB2312" w:eastAsia="仿宋_GB2312"/>
          <w:color w:val="auto"/>
          <w:sz w:val="32"/>
          <w:szCs w:val="32"/>
        </w:rPr>
        <w:t>》（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ascii="仿宋_GB2312" w:eastAsia="仿宋_GB2312"/>
          <w:color w:val="auto"/>
          <w:sz w:val="32"/>
          <w:szCs w:val="32"/>
        </w:rPr>
        <w:t>年第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号</w:t>
      </w:r>
      <w:r>
        <w:rPr>
          <w:rFonts w:ascii="仿宋_GB2312" w:eastAsia="仿宋_GB2312"/>
          <w:color w:val="auto"/>
          <w:sz w:val="32"/>
          <w:szCs w:val="32"/>
        </w:rPr>
        <w:t>）精神，实施六合区金牛湖街道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2022年村级公益事业建设“一事一议”财政奖补项目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本项目</w:t>
      </w:r>
      <w:r>
        <w:rPr>
          <w:rFonts w:ascii="仿宋_GB2312" w:eastAsia="仿宋_GB2312"/>
          <w:color w:val="auto"/>
          <w:sz w:val="32"/>
          <w:szCs w:val="32"/>
        </w:rPr>
        <w:t>是金牛湖街道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夯实强农基础、加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快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农村建设的</w:t>
      </w:r>
      <w:r>
        <w:rPr>
          <w:rFonts w:ascii="仿宋_GB2312" w:eastAsia="仿宋_GB2312"/>
          <w:color w:val="000000"/>
          <w:sz w:val="32"/>
          <w:szCs w:val="32"/>
        </w:rPr>
        <w:t>重要组成部分，本项目的实施对改善金牛湖街道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村民</w:t>
      </w:r>
      <w:r>
        <w:rPr>
          <w:rFonts w:ascii="仿宋_GB2312" w:eastAsia="仿宋_GB2312"/>
          <w:color w:val="000000"/>
          <w:sz w:val="32"/>
          <w:szCs w:val="32"/>
        </w:rPr>
        <w:t>的出行条件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、灌溉当地农作物</w:t>
      </w:r>
      <w:r>
        <w:rPr>
          <w:rFonts w:ascii="仿宋_GB2312" w:eastAsia="仿宋_GB2312"/>
          <w:color w:val="000000"/>
          <w:sz w:val="32"/>
          <w:szCs w:val="32"/>
        </w:rPr>
        <w:t>，带动当地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农村经济发展</w:t>
      </w:r>
      <w:r>
        <w:rPr>
          <w:rFonts w:ascii="仿宋_GB2312" w:eastAsia="仿宋_GB2312"/>
          <w:color w:val="000000"/>
          <w:sz w:val="32"/>
          <w:szCs w:val="32"/>
        </w:rPr>
        <w:t>具有重要意义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村级公益事业一事一议财政奖补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点带面完成村居基础设施及重点精品项目的完善，用一事一议项目来点缀“乡村振兴”以及“十四五”规划的宏伟蓝图。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（二）项目主要实施内容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项目由</w:t>
      </w:r>
      <w:r>
        <w:rPr>
          <w:rFonts w:hint="eastAsia" w:ascii="仿宋_GB2312" w:eastAsia="仿宋_GB2312"/>
          <w:color w:val="auto"/>
          <w:sz w:val="32"/>
          <w:szCs w:val="32"/>
        </w:rPr>
        <w:t>八百桥社区东园灌溉渠建设工程</w:t>
      </w:r>
      <w:r>
        <w:rPr>
          <w:rFonts w:ascii="仿宋_GB2312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八百桥社区西干渠李桥段硬质水渠建设工程</w:t>
      </w:r>
      <w:r>
        <w:rPr>
          <w:rFonts w:ascii="仿宋_GB2312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八百桥社区金牛街居民区排涝泵站及沟渠配套工程</w:t>
      </w:r>
      <w:r>
        <w:rPr>
          <w:rFonts w:ascii="仿宋_GB2312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茉莉花村柯庄杨周村庄路工程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茉莉花村卢西排灌沟工程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、茉莉花村后西灌溉沟工程、茉莉花村后许排灌沟工程、马头山村八双路至八八线路灯工程、马头山村马杨线路灯工程、马头山村小陈水泥路工程、马头山村六王水泥路、马头山上刘亮化路灯工程、马头山村大营郝水泥路工程、金山村井王庄、臭椿刘、大营刘等组太阳能路灯、金山村莫营组至金雄线水泥路工程、金山村汤家湾至郭营组硬质渠工程、金山村张东泵站至小李庄硬质渠工程、金山村岑庄董九碾太阳能路灯工程、金山村大营蒋、马云、邓周等组太阳能路灯、金山村西庄泵站至莫营硬质渠工程、金山村岑四路太阳能路灯项目、金山村小营王至小营蒋硬质渠项目、峨嵋山社区潘楼组渠道护砌工程、峨嵋山社区徐西组渠道护砌工程、峨嵋山社区葛云当家塘清淤维修工程、塘桥社区冶扬路路灯安装 、塘桥社区郭庄组电灌站建设、塘桥社区汪岗塘护砌及涵闸配套工程、塘桥社区杨庄组水泥路建设项目、樊集村小陈组水泥路建设及路灯配套项目、樊集村张庄、小营渠道及路灯工程建设、樊集村民生亮化工程“一事一议”工程、和仁村前管组路灯工程、和仁村前管组姚桃水泥路建设工程、长山社区戴云组路灯安装工程、长山社区陆庄组电灌站新建工程、长山社区蒋项组排涝站新建工程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（三）项目实施方式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全</w:t>
      </w:r>
      <w:r>
        <w:rPr>
          <w:rFonts w:hint="eastAsia" w:eastAsia="仿宋_GB2312"/>
          <w:sz w:val="32"/>
          <w:szCs w:val="32"/>
        </w:rPr>
        <w:t>街</w:t>
      </w:r>
      <w:r>
        <w:rPr>
          <w:rFonts w:eastAsia="仿宋_GB2312"/>
          <w:sz w:val="32"/>
          <w:szCs w:val="32"/>
        </w:rPr>
        <w:t>所有农村公益事业建设“一事一议”奖补项</w:t>
      </w:r>
      <w:r>
        <w:rPr>
          <w:rFonts w:hint="eastAsia" w:eastAsia="仿宋_GB2312"/>
          <w:sz w:val="32"/>
          <w:szCs w:val="32"/>
        </w:rPr>
        <w:t>目，30万元以下的</w:t>
      </w:r>
      <w:r>
        <w:rPr>
          <w:rFonts w:eastAsia="仿宋_GB2312"/>
          <w:sz w:val="32"/>
          <w:szCs w:val="32"/>
        </w:rPr>
        <w:t>通过农村产权交易平台</w:t>
      </w:r>
      <w:r>
        <w:rPr>
          <w:rFonts w:hint="eastAsia" w:eastAsia="仿宋_GB2312"/>
          <w:sz w:val="32"/>
          <w:szCs w:val="32"/>
        </w:rPr>
        <w:t>招投标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30万元以上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公开招标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严格按招标程序，选定有资质、有实力、有经验、价格优的施工队伍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（四）项目资金情况</w:t>
      </w:r>
    </w:p>
    <w:p>
      <w:pPr>
        <w:spacing w:line="600" w:lineRule="exact"/>
        <w:ind w:right="25" w:rightChars="12"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auto"/>
          <w:sz w:val="32"/>
          <w:szCs w:val="32"/>
        </w:rPr>
        <w:t>金牛湖街道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2022年度村级公益事业建设“一事一议”财政奖补项目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项目金额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1068.628267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万元，其中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/>
        </w:rPr>
        <w:t>省市区级奖补资金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807.8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万元、街道配套资金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260.82827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万元。</w:t>
      </w:r>
    </w:p>
    <w:p>
      <w:pPr>
        <w:spacing w:line="600" w:lineRule="exact"/>
        <w:ind w:right="25" w:rightChars="12"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截止审计基准日，已到位资金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1068.628267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万元，其中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eastAsia="zh-CN"/>
        </w:rPr>
        <w:t>省市区级奖补资金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807.8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万元，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街道配套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260.82827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万元。预算执行率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%。</w:t>
      </w:r>
    </w:p>
    <w:p>
      <w:pPr>
        <w:widowControl/>
        <w:spacing w:line="560" w:lineRule="atLeast"/>
        <w:ind w:firstLine="640" w:firstLineChars="200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二、绩效评价情况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（一）评价的对象及范围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本次评价的范围是</w:t>
      </w:r>
      <w:r>
        <w:rPr>
          <w:rFonts w:ascii="仿宋_GB2312" w:eastAsia="仿宋_GB2312"/>
          <w:sz w:val="32"/>
          <w:szCs w:val="32"/>
        </w:rPr>
        <w:t>金牛湖街道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2022年村级公益事业建设“一事一议”财政奖补项目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的实施推进情况，资金使用情况及相关社会效益。</w:t>
      </w:r>
    </w:p>
    <w:p>
      <w:pPr>
        <w:widowControl/>
        <w:numPr>
          <w:ilvl w:val="0"/>
          <w:numId w:val="1"/>
        </w:numPr>
        <w:spacing w:line="56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项目绩效目标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夯实强农基础、加快农村建设、</w:t>
      </w:r>
      <w:r>
        <w:rPr>
          <w:rFonts w:ascii="仿宋_GB2312" w:eastAsia="仿宋_GB2312"/>
          <w:color w:val="000000"/>
          <w:sz w:val="32"/>
          <w:szCs w:val="32"/>
        </w:rPr>
        <w:t>带动当地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农村经济发展。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项目评价思路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通过对</w:t>
      </w:r>
      <w:r>
        <w:rPr>
          <w:rFonts w:hint="eastAsia" w:ascii="仿宋_GB2312" w:eastAsia="仿宋_GB2312"/>
          <w:sz w:val="32"/>
          <w:szCs w:val="32"/>
          <w:lang w:eastAsia="zh-CN"/>
        </w:rPr>
        <w:t>金</w:t>
      </w:r>
      <w:r>
        <w:rPr>
          <w:rFonts w:ascii="仿宋_GB2312" w:eastAsia="仿宋_GB2312"/>
          <w:sz w:val="32"/>
          <w:szCs w:val="32"/>
        </w:rPr>
        <w:t>牛湖街道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2022年村级公益事业建设“一事一议”财政奖补项目的</w:t>
      </w:r>
      <w:r>
        <w:rPr>
          <w:rFonts w:hint="eastAsia" w:ascii="仿宋_GB2312" w:eastAsia="仿宋_GB2312"/>
          <w:sz w:val="32"/>
          <w:szCs w:val="32"/>
        </w:rPr>
        <w:t>项目决策、管理过程、竣工验收、效益及满意度的评价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绩效结论，梳理存在的问题，完善项目管理制度，保障项目实施质量，保证项目资金使用规范。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评价原则与方法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pStyle w:val="13"/>
        <w:widowControl/>
        <w:numPr>
          <w:ilvl w:val="0"/>
          <w:numId w:val="1"/>
        </w:numPr>
        <w:spacing w:line="560" w:lineRule="atLeast"/>
        <w:ind w:firstLineChars="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评价结论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经评价，</w:t>
      </w:r>
      <w:r>
        <w:rPr>
          <w:rFonts w:ascii="仿宋_GB2312" w:eastAsia="仿宋_GB2312"/>
          <w:sz w:val="32"/>
          <w:szCs w:val="32"/>
        </w:rPr>
        <w:t>金牛湖街道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2022年村级公益事业建设“一事一议”财政奖补项目的</w:t>
      </w:r>
      <w:r>
        <w:rPr>
          <w:rFonts w:ascii="仿宋_GB2312" w:eastAsia="仿宋_GB2312"/>
          <w:sz w:val="32"/>
          <w:szCs w:val="32"/>
        </w:rPr>
        <w:t>绩效等级为“优”。</w:t>
      </w:r>
    </w:p>
    <w:p>
      <w:pPr>
        <w:pStyle w:val="13"/>
        <w:widowControl/>
        <w:spacing w:line="560" w:lineRule="atLeast"/>
        <w:ind w:left="420" w:firstLine="0" w:firstLineChars="0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三、主要做法及成效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1、项目组织情况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八百桥社区东园灌溉渠建设工程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建设单位：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八百桥社区居民委员会。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施工单位：南京龙发建筑安装工程有限公司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_GB2312" w:eastAsia="仿宋_GB2312"/>
          <w:color w:val="auto"/>
          <w:sz w:val="32"/>
          <w:szCs w:val="32"/>
        </w:rPr>
        <w:t>八百桥社区西干渠李桥段硬质水渠建设工程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八百桥社区居民委员会。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施工单位：江苏圣宏富生态环境有限公司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</w:t>
      </w:r>
      <w:r>
        <w:rPr>
          <w:rFonts w:hint="eastAsia" w:ascii="仿宋_GB2312" w:eastAsia="仿宋_GB2312"/>
          <w:color w:val="auto"/>
          <w:sz w:val="32"/>
          <w:szCs w:val="32"/>
        </w:rPr>
        <w:t>八百桥社区金牛街居民区排涝泵站及沟渠配套工程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八百桥社区居民委员会。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施工单位：南京容方合市政工程有限公司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茉莉花村柯庄杨周村庄路工程；建设单位：南京市六合区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茉莉花村村民委员会。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施工单位：南京海童峰建设有限公司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茉莉花村卢西排灌沟工程；建设单位：南京市六合区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茉莉花村村民委员会。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施工单位：江苏棠龙建设有限公司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（6）茉莉花村后西灌溉沟工程；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茉莉花村村民委员会。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施工单位：江苏金洽建设有限公司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）茉莉花村后许排灌沟工程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茉莉花村村民委员会。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施工单位：南京龙邵科技发展有限公司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）马头山村八双路至八八线路灯工程；建设单位：南京市六合区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马头山村村民委员会。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施工单位：江苏棠龙建设有限公司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）马头山村马杨线路灯工程；建设单位：南京市六合区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马头山村村民委员会。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施工单位：南京同升建设发展有限公司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）马头山村小陈水泥路工程；建设单位：南京市六合区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马头山村村民委员会。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施工单位：南京天六和路桥建设有限公司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）马头山村六王水泥路；建设单位：南京市六合区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马头山村村民委员会。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施工单位：南京金歌建设工程有限公司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）马头山上刘亮化路灯工程；建设单位：南京市六合区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马头山村村民委员会。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施工单位：江苏该瑞建工有限公司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）马头山村大营郝水泥路工程；建设单位：南京市六合区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马头山村村民委员会。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施工单位：南京天六和路桥建设有限公司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）金山村井王庄、臭椿刘、大营刘等组太阳能路灯；建设单位：南京市六合区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施工单位：江苏昊宁建设工程有限公司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）金山村莫营组至金雄线水泥路工程；建设单位：南京市六合区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施工单位：江苏昊宁建设工程有限公司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）金山村汤家湾至郭营组硬质渠工程；建设单位：南京市六合区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施工单位：南京金歌建设工程有限公司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）金山村张东泵站至小李庄硬质渠工程；建设单位：南京市六合区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施工单位：江苏智轩建设工程有限公司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）金山村岑庄董九碾太阳能路灯工程；建设单位：南京市六合区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施工单位：南京烁一建设工程有限公司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）金山村大营蒋、马云、邓周等组太阳能路灯；建设单位：南京市六合区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施工单位：南京龙发建筑安装工程有限公司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）金山村西庄泵站至莫营硬质渠工程；建设单位：南京市六合区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施工单位：南京容方合市政工程有限公司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）金山村岑四路太阳能路灯项目；建设单位：南京市六合区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施工单位：江苏昊宁建设工程有限公司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）金山村小营王至小营蒋硬质渠项目；建设单位：南京市六合区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金山村村民委员会。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施工单位：南京龙发建筑安装工程有限公司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）峨嵋山社区潘楼组渠道护砌工程；建设单位：南京市六合区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峨嵋山社区居民委员会。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施工单位：南京同升建设发展有限公司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）峨嵋山社区徐西组渠道护砌工程；建设单位：南京市六合区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峨嵋山社区居民委员会。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施工单位：南京众蕊建筑工程有限公司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）峨嵋山社区葛云当家塘清淤维修工程；建设单位：南京市六合区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峨嵋山社区居民委员会。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施工单位：江苏昊宁建设工程有限公司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）塘桥社区冶扬路路灯安装 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塘桥社区居民委员会。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施工单位：江苏该瑞建工有限公司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）塘桥社区郭庄组电灌站建设；建设单位：南京市六合区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塘桥社区居民委员会。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施工单位：江苏茉莉花园建设发展有限公司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）塘桥社区汪岗塘护砌及涵闸配套工程；建设单位：南京市六合区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塘桥社区居民委员会。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施工单位：南京同升建设发展有限公司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）塘桥社区杨庄组水泥路建设项目；建设单位：南京市六合区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塘桥社区居民委员会。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施工单位：南京天六和路桥建设有限公司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）樊集村小陈组水泥路建设及路灯配套项目；建设单位：南京市六合区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樊集村村民委员会。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施工单位：南京金歌建设工程有限公司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）樊集村张庄、小营渠道及路灯工程建设；建设单位：南京市六合区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樊集村村民委员会。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施工单位：南京棠鹏建设有限公司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）樊集村民生亮化工程“一事一议”工程；建设单位：南京市六合区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樊集村村民委员会。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施工单位：南京普烨建设工程有限公司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（33）和仁村前管组路灯工程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和仁村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施工单位：江苏富宇环境科技有限公司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）和仁村前管组姚桃水泥路建设工程；建设单位：南京市六合区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和仁村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施工单位：南京龙发建筑安装工程有限公司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）长山社区戴云组路灯安装工程；建设单位：南京市六合区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长山社区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施工单位：江苏富宇环境科技有限公司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）长山社区陆庄组电灌站新建工程；建设单位：南京市六合区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长山社区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施工单位：河北万源水利水电建筑安装有限公司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）长山社区蒋项组排涝站新建工程；建设单位：南京市六合区</w:t>
      </w:r>
      <w:r>
        <w:rPr>
          <w:rFonts w:hint="eastAsia" w:ascii="仿宋_GB2312" w:eastAsia="仿宋_GB2312"/>
          <w:color w:val="auto"/>
          <w:sz w:val="32"/>
          <w:szCs w:val="32"/>
        </w:rPr>
        <w:t>金牛湖</w:t>
      </w:r>
      <w:r>
        <w:rPr>
          <w:rFonts w:ascii="仿宋_GB2312" w:eastAsia="仿宋_GB2312"/>
          <w:color w:val="auto"/>
          <w:sz w:val="32"/>
          <w:szCs w:val="32"/>
        </w:rPr>
        <w:t>街道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长山社区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居民委员会。</w:t>
      </w:r>
      <w:r>
        <w:rPr>
          <w:rFonts w:hint="eastAsia" w:ascii="仿宋_GB2312" w:eastAsia="仿宋_GB2312"/>
          <w:color w:val="auto"/>
          <w:sz w:val="32"/>
          <w:szCs w:val="32"/>
        </w:rPr>
        <w:t>施工单位：南京海童峰建设有限公司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right="25" w:rightChars="12"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项目按照（六税改办（2017）6号）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“一事一议”项目及资金管理办法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进行日常检查监督管理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2、项目管理情况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严格立项。按照“全覆盖、远规划、分年实施”的原则，我街根据发展规划，结合乡村振兴战略，综合考虑群众需求和受益面、显效性、迫切性，组织村居通过召开村（居）民代表会议集体讨论，在项目库中拟定当年农村公益事业“一事一议”建设项目，明晰项目建设内容、投资规模和资金筹措渠道，并全程实行公开公示，广泛接受群众监督。街道财政资产部、农业农村部对照省市区相关要求，对村居申报建设项目经逐个现场勘查审核后报区批准立项，对违反民主议事程序、超出奖补政策范围等不符合政策规定的项目一律不给予审批立项，同时注重向经济薄弱村倾斜。</w:t>
      </w:r>
    </w:p>
    <w:p>
      <w:pPr>
        <w:widowControl/>
        <w:spacing w:line="560" w:lineRule="atLeast"/>
        <w:ind w:firstLine="320" w:firstLineChars="1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强化工作督查。建立联动督查机制，街道财政所、经管办先后多次深入各村居实地督查项目建设情况，有效推进项目建设进度。同时要求各村居从4月份起逐月上报项目建设进度，以便实时掌握情况。我街明确一名分管领导负总责，具体由财政资产部、农业农村部负责协调建设，便民服务中心等部门有经验的同志全程介入工程监管。同时，发挥村居民主监督作用，实行民议、民管，建立事前立项、事中检查、事后验收的监督检查制度。</w:t>
      </w:r>
    </w:p>
    <w:p>
      <w:pPr>
        <w:widowControl/>
        <w:spacing w:line="560" w:lineRule="atLeast"/>
        <w:ind w:firstLine="320" w:firstLineChars="1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强化检查验收。采取“村居自查、街道验收、区级复核”三级把关程序。先由村居委员会在组织村组干部和项目所在区域的群众代表，对照项目设计和合同约定的建设内容、质量要求，采取现场勘测对竣工项目进行自查自验，在村居自查合格的基础上，再由街道组织由财政资产部、农业农村部等相关部门组成检查验收小组，对所有竣工项目逐个进行现场检查验收，并填报《六合区村级公益事业建设“一事一议”财政奖补项目验收表》，最后申请区级核查。</w:t>
      </w:r>
    </w:p>
    <w:p>
      <w:pPr>
        <w:widowControl/>
        <w:spacing w:line="560" w:lineRule="atLeast"/>
        <w:ind w:firstLine="320" w:firstLineChars="1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是落实管理管护主体责任。为切实做好项目管理与维护工作，保证项目长期发挥效益，明确村组为项目管理与维护工作的主体，实行长效管理与维护。同时街道按“一项一档”规范建立项目资料档案并送至区相关部门进行核查归档，确保项目建设留存资料真实。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3、项目成效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极大地改善了农村生产和群众出行条件，有效地</w:t>
      </w:r>
      <w:r>
        <w:rPr>
          <w:rFonts w:hint="eastAsia" w:eastAsia="仿宋_GB2312"/>
          <w:sz w:val="32"/>
          <w:szCs w:val="32"/>
        </w:rPr>
        <w:t>改善</w:t>
      </w:r>
      <w:r>
        <w:rPr>
          <w:rFonts w:eastAsia="仿宋_GB2312"/>
          <w:sz w:val="32"/>
          <w:szCs w:val="32"/>
        </w:rPr>
        <w:t>了农村生活生态环境，弥补了乡村振兴的部分“短板”，受到了广大农民群众支持与好评，一定程度地化解了农村部分社会矛盾，促进了干群关系的和谐，同时也有效</w:t>
      </w:r>
      <w:r>
        <w:rPr>
          <w:rFonts w:hint="eastAsia" w:eastAsia="仿宋_GB2312"/>
          <w:sz w:val="32"/>
          <w:szCs w:val="32"/>
        </w:rPr>
        <w:t>提升</w:t>
      </w:r>
      <w:r>
        <w:rPr>
          <w:rFonts w:eastAsia="仿宋_GB2312"/>
          <w:sz w:val="32"/>
          <w:szCs w:val="32"/>
        </w:rPr>
        <w:t>了我</w:t>
      </w:r>
      <w:r>
        <w:rPr>
          <w:rFonts w:hint="eastAsia" w:eastAsia="仿宋_GB2312"/>
          <w:sz w:val="32"/>
          <w:szCs w:val="32"/>
        </w:rPr>
        <w:t>街</w:t>
      </w:r>
      <w:r>
        <w:rPr>
          <w:rFonts w:eastAsia="仿宋_GB2312"/>
          <w:sz w:val="32"/>
          <w:szCs w:val="32"/>
        </w:rPr>
        <w:t>农村基础建设相对薄弱的现状。</w:t>
      </w:r>
      <w:r>
        <w:rPr>
          <w:rFonts w:ascii="仿宋_GB2312" w:eastAsia="仿宋_GB2312"/>
          <w:sz w:val="32"/>
          <w:szCs w:val="32"/>
          <w:shd w:val="clear" w:color="auto" w:fill="FFFFFF"/>
        </w:rPr>
        <w:t>。</w:t>
      </w:r>
    </w:p>
    <w:p>
      <w:pPr>
        <w:widowControl/>
        <w:spacing w:line="56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存在问题及相关建议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存在问题</w:t>
      </w:r>
      <w:r>
        <w:rPr>
          <w:rFonts w:ascii="仿宋_GB2312" w:eastAsia="仿宋_GB2312"/>
          <w:sz w:val="32"/>
          <w:szCs w:val="32"/>
          <w:shd w:val="clear" w:color="auto" w:fill="FFFFFF"/>
        </w:rPr>
        <w:t>：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需求矛盾依然存在：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农村</w:t>
      </w:r>
      <w:r>
        <w:rPr>
          <w:rFonts w:ascii="仿宋_GB2312" w:eastAsia="仿宋_GB2312"/>
          <w:sz w:val="32"/>
          <w:szCs w:val="32"/>
          <w:shd w:val="clear" w:color="auto" w:fill="FFFFFF"/>
        </w:rPr>
        <w:t>道路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、渠道等民生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/>
          <w:sz w:val="32"/>
          <w:szCs w:val="32"/>
          <w:shd w:val="clear" w:color="auto" w:fill="FFFFFF"/>
        </w:rPr>
        <w:t>需求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日益增长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，农民对提高生产生活质量的愿望日益增强，迫切要求加快村级公益事业“一事一议”建设。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财政奖补标准偏低：村级公益事业“一事一议”项目经济薄弱村（包括实际相对欠发达村）路灯项目按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80%标准测算奖补；对部分实际投入较大的项目奖补标准分别是：项目实际投入在40-50万元的奖补标准为31万元、50-60万元奖补标准为35万元、60万元以上的奖补标准为40万元；其他村居的各类项目按75%标准测算奖补，总体奖补标准偏低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相关</w:t>
      </w:r>
      <w:r>
        <w:rPr>
          <w:rFonts w:ascii="仿宋_GB2312" w:eastAsia="仿宋_GB2312"/>
          <w:sz w:val="32"/>
          <w:szCs w:val="32"/>
          <w:shd w:val="clear" w:color="auto" w:fill="FFFFFF"/>
        </w:rPr>
        <w:t>建议：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1、建议财政加大投入，持续推进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村级公益事业“一事一议”建设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工作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，提高“一事一议”项目奖补标准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竣工完工后的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村级公益事业“一事一议”项目建议建立长效养护机制并给予养护资金支持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eastAsia="仿宋_GB2312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7BE66"/>
    <w:multiLevelType w:val="singleLevel"/>
    <w:tmpl w:val="E447BE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9BB9CF"/>
    <w:multiLevelType w:val="singleLevel"/>
    <w:tmpl w:val="F49BB9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Mzg3M2QyZDU2OTE1NzM0MmU2MjhiYmMyMGRiNjIifQ=="/>
  </w:docVars>
  <w:rsids>
    <w:rsidRoot w:val="004C1A04"/>
    <w:rsid w:val="001C1B97"/>
    <w:rsid w:val="001F2F27"/>
    <w:rsid w:val="00235433"/>
    <w:rsid w:val="00243919"/>
    <w:rsid w:val="002917D6"/>
    <w:rsid w:val="003435F1"/>
    <w:rsid w:val="003D1860"/>
    <w:rsid w:val="004714F0"/>
    <w:rsid w:val="004C1A04"/>
    <w:rsid w:val="00555D0D"/>
    <w:rsid w:val="005B1530"/>
    <w:rsid w:val="005C61D9"/>
    <w:rsid w:val="007017D7"/>
    <w:rsid w:val="007349EB"/>
    <w:rsid w:val="0074511D"/>
    <w:rsid w:val="00784A8F"/>
    <w:rsid w:val="007C2583"/>
    <w:rsid w:val="007D0DC6"/>
    <w:rsid w:val="008C5D37"/>
    <w:rsid w:val="00937256"/>
    <w:rsid w:val="009829E0"/>
    <w:rsid w:val="009A39BB"/>
    <w:rsid w:val="00B27EC1"/>
    <w:rsid w:val="00BD2962"/>
    <w:rsid w:val="00C73440"/>
    <w:rsid w:val="00C969B9"/>
    <w:rsid w:val="00D00A23"/>
    <w:rsid w:val="00D02409"/>
    <w:rsid w:val="00D64C43"/>
    <w:rsid w:val="00E618E4"/>
    <w:rsid w:val="00E639EE"/>
    <w:rsid w:val="00E65B1D"/>
    <w:rsid w:val="00E70F18"/>
    <w:rsid w:val="00E91C00"/>
    <w:rsid w:val="00EA31A1"/>
    <w:rsid w:val="00F7554A"/>
    <w:rsid w:val="00FF7300"/>
    <w:rsid w:val="021624D9"/>
    <w:rsid w:val="031059A9"/>
    <w:rsid w:val="035E2B6B"/>
    <w:rsid w:val="046B3792"/>
    <w:rsid w:val="050302FE"/>
    <w:rsid w:val="07C81D67"/>
    <w:rsid w:val="08AA23AF"/>
    <w:rsid w:val="0AF15565"/>
    <w:rsid w:val="0C590374"/>
    <w:rsid w:val="0DA01920"/>
    <w:rsid w:val="0F447297"/>
    <w:rsid w:val="0F5721B3"/>
    <w:rsid w:val="105E064F"/>
    <w:rsid w:val="11625F1D"/>
    <w:rsid w:val="11C825E8"/>
    <w:rsid w:val="12635AA8"/>
    <w:rsid w:val="16A448E1"/>
    <w:rsid w:val="1B257A6F"/>
    <w:rsid w:val="1C315FB2"/>
    <w:rsid w:val="1D24677C"/>
    <w:rsid w:val="1E3D7AF5"/>
    <w:rsid w:val="1EB51D82"/>
    <w:rsid w:val="1EBC5DCE"/>
    <w:rsid w:val="1F7B230E"/>
    <w:rsid w:val="200603BB"/>
    <w:rsid w:val="216B2BCB"/>
    <w:rsid w:val="21E6657A"/>
    <w:rsid w:val="22861367"/>
    <w:rsid w:val="23CB5BA3"/>
    <w:rsid w:val="25BC39F6"/>
    <w:rsid w:val="27924077"/>
    <w:rsid w:val="291B6C85"/>
    <w:rsid w:val="29B6075C"/>
    <w:rsid w:val="2D960FD0"/>
    <w:rsid w:val="2E26728F"/>
    <w:rsid w:val="2ED3590C"/>
    <w:rsid w:val="31755EAA"/>
    <w:rsid w:val="32FE389F"/>
    <w:rsid w:val="33615BDC"/>
    <w:rsid w:val="338D69D1"/>
    <w:rsid w:val="3442156A"/>
    <w:rsid w:val="3557006F"/>
    <w:rsid w:val="36F31241"/>
    <w:rsid w:val="375D34E7"/>
    <w:rsid w:val="379419BE"/>
    <w:rsid w:val="396C52DB"/>
    <w:rsid w:val="39761CB6"/>
    <w:rsid w:val="3A3000B7"/>
    <w:rsid w:val="3A3F02FA"/>
    <w:rsid w:val="3A555D6F"/>
    <w:rsid w:val="3B895CD0"/>
    <w:rsid w:val="3C8C1F1C"/>
    <w:rsid w:val="3D113CCD"/>
    <w:rsid w:val="3D4A29D6"/>
    <w:rsid w:val="3DA94408"/>
    <w:rsid w:val="3E7E5894"/>
    <w:rsid w:val="3E8F1850"/>
    <w:rsid w:val="412B15D8"/>
    <w:rsid w:val="412C782A"/>
    <w:rsid w:val="45D67D64"/>
    <w:rsid w:val="480212E4"/>
    <w:rsid w:val="49F96717"/>
    <w:rsid w:val="4A0D21C2"/>
    <w:rsid w:val="4A1C41B3"/>
    <w:rsid w:val="4A914BA1"/>
    <w:rsid w:val="4A9B157C"/>
    <w:rsid w:val="4C1B2975"/>
    <w:rsid w:val="4C765DFD"/>
    <w:rsid w:val="4DA71FF8"/>
    <w:rsid w:val="4DC94652"/>
    <w:rsid w:val="4DEB45C9"/>
    <w:rsid w:val="510D2AA8"/>
    <w:rsid w:val="5246001F"/>
    <w:rsid w:val="52C04276"/>
    <w:rsid w:val="53EE4E13"/>
    <w:rsid w:val="54751090"/>
    <w:rsid w:val="55254864"/>
    <w:rsid w:val="56C43C09"/>
    <w:rsid w:val="573963A5"/>
    <w:rsid w:val="578266DD"/>
    <w:rsid w:val="58D724E6"/>
    <w:rsid w:val="59543BB4"/>
    <w:rsid w:val="5B503CBD"/>
    <w:rsid w:val="5B6065F6"/>
    <w:rsid w:val="5B7323C7"/>
    <w:rsid w:val="5D323001"/>
    <w:rsid w:val="5D4B6E32"/>
    <w:rsid w:val="5D810AA5"/>
    <w:rsid w:val="5D9C27C5"/>
    <w:rsid w:val="5DC96EC0"/>
    <w:rsid w:val="60C452CD"/>
    <w:rsid w:val="60D8007F"/>
    <w:rsid w:val="61AF3E33"/>
    <w:rsid w:val="62C92CD3"/>
    <w:rsid w:val="63387560"/>
    <w:rsid w:val="651B17E0"/>
    <w:rsid w:val="670C1FB7"/>
    <w:rsid w:val="68906041"/>
    <w:rsid w:val="69434E61"/>
    <w:rsid w:val="6AFB3C45"/>
    <w:rsid w:val="6B657311"/>
    <w:rsid w:val="6D01750D"/>
    <w:rsid w:val="6D521B17"/>
    <w:rsid w:val="6D8F68C7"/>
    <w:rsid w:val="6EA92A78"/>
    <w:rsid w:val="6F5860C0"/>
    <w:rsid w:val="6F6124E5"/>
    <w:rsid w:val="719A3A8C"/>
    <w:rsid w:val="71CD79BE"/>
    <w:rsid w:val="73267CCD"/>
    <w:rsid w:val="73505249"/>
    <w:rsid w:val="73CF3EC1"/>
    <w:rsid w:val="74C5562A"/>
    <w:rsid w:val="75932CCC"/>
    <w:rsid w:val="75C94940"/>
    <w:rsid w:val="76F93940"/>
    <w:rsid w:val="78112CFA"/>
    <w:rsid w:val="78120820"/>
    <w:rsid w:val="78DA7590"/>
    <w:rsid w:val="794F33AE"/>
    <w:rsid w:val="795E2581"/>
    <w:rsid w:val="79745C8C"/>
    <w:rsid w:val="7ACC676C"/>
    <w:rsid w:val="7C00462F"/>
    <w:rsid w:val="7D33726F"/>
    <w:rsid w:val="7EFC5D86"/>
    <w:rsid w:val="7F0A3FFF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17</Pages>
  <Words>7972</Words>
  <Characters>8245</Characters>
  <Lines>12</Lines>
  <Paragraphs>3</Paragraphs>
  <TotalTime>8</TotalTime>
  <ScaleCrop>false</ScaleCrop>
  <LinksUpToDate>false</LinksUpToDate>
  <CharactersWithSpaces>8253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Administrator</cp:lastModifiedBy>
  <dcterms:modified xsi:type="dcterms:W3CDTF">2023-09-15T06:18:04Z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1D446F89895E462DA5CBEBFA6C9E4CA8_13</vt:lpwstr>
  </property>
</Properties>
</file>