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5" w:lineRule="auto"/>
        <w:rPr>
          <w:rFonts w:ascii="Microsoft JhengHei"/>
          <w:sz w:val="21"/>
        </w:rPr>
      </w:pPr>
    </w:p>
    <w:p>
      <w:pPr>
        <w:spacing w:before="191" w:line="297" w:lineRule="auto"/>
        <w:ind w:left="4770" w:leftChars="914" w:right="1463" w:hanging="2851" w:hangingChars="657"/>
        <w:jc w:val="left"/>
        <w:rPr>
          <w:rFonts w:hint="eastAsia" w:ascii="宋体" w:hAnsi="宋体" w:eastAsia="宋体" w:cs="宋体"/>
          <w:spacing w:val="-3"/>
          <w:sz w:val="44"/>
          <w:szCs w:val="44"/>
          <w14:textOutline w14:w="7962" w14:cap="flat" w14:cmpd="sng">
            <w14:solidFill>
              <w14:srgbClr w14:val="000000"/>
            </w14:solidFill>
            <w14:prstDash w14:val="solid"/>
            <w14:miter w14:val="0"/>
          </w14:textOutline>
        </w:rPr>
      </w:pPr>
      <w:r>
        <w:rPr>
          <w:rFonts w:hint="eastAsia" w:ascii="宋体" w:hAnsi="宋体" w:eastAsia="宋体" w:cs="宋体"/>
          <w:spacing w:val="-3"/>
          <w:sz w:val="44"/>
          <w:szCs w:val="44"/>
          <w:lang w:eastAsia="zh-CN"/>
          <w14:textOutline w14:w="7962" w14:cap="flat" w14:cmpd="sng">
            <w14:solidFill>
              <w14:srgbClr w14:val="000000"/>
            </w14:solidFill>
            <w14:prstDash w14:val="solid"/>
            <w14:miter w14:val="0"/>
          </w14:textOutline>
        </w:rPr>
        <w:t>金牛湖</w:t>
      </w:r>
      <w:r>
        <w:rPr>
          <w:rFonts w:hint="eastAsia" w:ascii="宋体" w:hAnsi="宋体" w:eastAsia="宋体" w:cs="宋体"/>
          <w:spacing w:val="-3"/>
          <w:sz w:val="44"/>
          <w:szCs w:val="44"/>
          <w14:textOutline w14:w="7962" w14:cap="flat" w14:cmpd="sng">
            <w14:solidFill>
              <w14:srgbClr w14:val="000000"/>
            </w14:solidFill>
            <w14:prstDash w14:val="solid"/>
            <w14:miter w14:val="0"/>
          </w14:textOutline>
        </w:rPr>
        <w:t>街道202</w:t>
      </w:r>
      <w:r>
        <w:rPr>
          <w:rFonts w:hint="eastAsia" w:ascii="宋体" w:hAnsi="宋体" w:eastAsia="宋体" w:cs="宋体"/>
          <w:spacing w:val="-3"/>
          <w:sz w:val="44"/>
          <w:szCs w:val="44"/>
          <w:lang w:val="en-US" w:eastAsia="zh-CN"/>
          <w14:textOutline w14:w="7962" w14:cap="flat" w14:cmpd="sng">
            <w14:solidFill>
              <w14:srgbClr w14:val="000000"/>
            </w14:solidFill>
            <w14:prstDash w14:val="solid"/>
            <w14:miter w14:val="0"/>
          </w14:textOutline>
        </w:rPr>
        <w:t>2</w:t>
      </w:r>
      <w:r>
        <w:rPr>
          <w:rFonts w:hint="eastAsia" w:ascii="宋体" w:hAnsi="宋体" w:eastAsia="宋体" w:cs="宋体"/>
          <w:spacing w:val="-3"/>
          <w:sz w:val="44"/>
          <w:szCs w:val="44"/>
          <w14:textOutline w14:w="7962" w14:cap="flat" w14:cmpd="sng">
            <w14:solidFill>
              <w14:srgbClr w14:val="000000"/>
            </w14:solidFill>
            <w14:prstDash w14:val="solid"/>
            <w14:miter w14:val="0"/>
          </w14:textOutline>
        </w:rPr>
        <w:t>年整体绩效</w:t>
      </w:r>
    </w:p>
    <w:p>
      <w:pPr>
        <w:spacing w:before="191" w:line="297" w:lineRule="auto"/>
        <w:ind w:left="4786" w:leftChars="1750" w:right="1463" w:hanging="1111" w:hangingChars="256"/>
        <w:jc w:val="left"/>
        <w:rPr>
          <w:rFonts w:hint="eastAsia" w:ascii="宋体" w:hAnsi="宋体" w:eastAsia="宋体" w:cs="宋体"/>
          <w:sz w:val="44"/>
          <w:szCs w:val="44"/>
        </w:rPr>
      </w:pPr>
      <w:r>
        <w:rPr>
          <w:rFonts w:hint="eastAsia" w:ascii="宋体" w:hAnsi="宋体" w:eastAsia="宋体" w:cs="宋体"/>
          <w:spacing w:val="-3"/>
          <w:sz w:val="44"/>
          <w:szCs w:val="44"/>
          <w14:textOutline w14:w="7962" w14:cap="flat" w14:cmpd="sng">
            <w14:solidFill>
              <w14:srgbClr w14:val="000000"/>
            </w14:solidFill>
            <w14:prstDash w14:val="solid"/>
            <w14:miter w14:val="0"/>
          </w14:textOutline>
        </w:rPr>
        <w:t>评</w:t>
      </w:r>
      <w:r>
        <w:rPr>
          <w:rFonts w:hint="eastAsia" w:ascii="宋体" w:hAnsi="宋体" w:eastAsia="宋体" w:cs="宋体"/>
          <w:spacing w:val="-3"/>
          <w:sz w:val="44"/>
          <w:szCs w:val="44"/>
          <w:lang w:eastAsia="zh-CN"/>
          <w14:textOutline w14:w="7962" w14:cap="flat" w14:cmpd="sng">
            <w14:solidFill>
              <w14:srgbClr w14:val="000000"/>
            </w14:solidFill>
            <w14:prstDash w14:val="solid"/>
            <w14:miter w14:val="0"/>
          </w14:textOutline>
        </w:rPr>
        <w:t>价报告</w:t>
      </w:r>
    </w:p>
    <w:p>
      <w:pPr>
        <w:spacing w:before="183" w:line="187" w:lineRule="auto"/>
        <w:ind w:firstLine="689"/>
        <w:outlineLvl w:val="0"/>
        <w:rPr>
          <w:rFonts w:ascii="黑体" w:hAnsi="黑体" w:eastAsia="黑体" w:cs="黑体"/>
          <w:sz w:val="32"/>
          <w:szCs w:val="32"/>
        </w:rPr>
      </w:pPr>
      <w:bookmarkStart w:id="0" w:name="_Toc25325"/>
      <w:r>
        <w:rPr>
          <w:rFonts w:ascii="黑体" w:hAnsi="黑体" w:eastAsia="黑体" w:cs="黑体"/>
          <w:spacing w:val="-2"/>
          <w:sz w:val="32"/>
          <w:szCs w:val="32"/>
          <w14:textOutline w14:w="5791" w14:cap="flat" w14:cmpd="sng">
            <w14:solidFill>
              <w14:srgbClr w14:val="000000"/>
            </w14:solidFill>
            <w14:prstDash w14:val="solid"/>
            <w14:miter w14:val="0"/>
          </w14:textOutline>
        </w:rPr>
        <w:t>一、部门概况</w:t>
      </w:r>
      <w:bookmarkEnd w:id="0"/>
    </w:p>
    <w:p>
      <w:pPr>
        <w:spacing w:before="235" w:line="188" w:lineRule="auto"/>
        <w:ind w:firstLine="692"/>
        <w:outlineLvl w:val="1"/>
        <w:rPr>
          <w:rFonts w:ascii="仿宋" w:hAnsi="仿宋" w:eastAsia="仿宋" w:cs="仿宋"/>
          <w:sz w:val="32"/>
          <w:szCs w:val="32"/>
        </w:rPr>
      </w:pPr>
      <w:bookmarkStart w:id="1" w:name="_Toc18236"/>
      <w:r>
        <w:rPr>
          <w:rFonts w:ascii="仿宋" w:hAnsi="仿宋" w:eastAsia="仿宋" w:cs="仿宋"/>
          <w:spacing w:val="-19"/>
          <w:sz w:val="32"/>
          <w:szCs w:val="32"/>
          <w14:textOutline w14:w="5791" w14:cap="flat" w14:cmpd="sng">
            <w14:solidFill>
              <w14:srgbClr w14:val="000000"/>
            </w14:solidFill>
            <w14:prstDash w14:val="solid"/>
            <w14:miter w14:val="0"/>
          </w14:textOutline>
        </w:rPr>
        <w:t>（一）</w:t>
      </w:r>
      <w:r>
        <w:rPr>
          <w:rFonts w:ascii="仿宋" w:hAnsi="仿宋" w:eastAsia="仿宋" w:cs="仿宋"/>
          <w:sz w:val="32"/>
          <w:szCs w:val="32"/>
        </w:rPr>
        <w:t xml:space="preserve"> </w:t>
      </w:r>
      <w:r>
        <w:rPr>
          <w:rFonts w:ascii="仿宋" w:hAnsi="仿宋" w:eastAsia="仿宋" w:cs="仿宋"/>
          <w:spacing w:val="-19"/>
          <w:sz w:val="32"/>
          <w:szCs w:val="32"/>
          <w14:textOutline w14:w="5791" w14:cap="flat" w14:cmpd="sng">
            <w14:solidFill>
              <w14:srgbClr w14:val="000000"/>
            </w14:solidFill>
            <w14:prstDash w14:val="solid"/>
            <w14:miter w14:val="0"/>
          </w14:textOutline>
        </w:rPr>
        <w:t>部门基本情况</w:t>
      </w:r>
      <w:bookmarkEnd w:id="1"/>
    </w:p>
    <w:p>
      <w:pPr>
        <w:spacing w:before="208" w:line="326" w:lineRule="auto"/>
        <w:ind w:left="50" w:right="112" w:firstLine="639"/>
        <w:outlineLvl w:val="2"/>
        <w:rPr>
          <w:rFonts w:ascii="仿宋" w:hAnsi="仿宋" w:eastAsia="仿宋" w:cs="仿宋"/>
          <w:spacing w:val="-2"/>
          <w:sz w:val="32"/>
          <w:szCs w:val="32"/>
        </w:rPr>
      </w:pPr>
      <w:bookmarkStart w:id="2" w:name="_Toc25646"/>
      <w:r>
        <w:rPr>
          <w:rFonts w:ascii="仿宋" w:hAnsi="仿宋" w:eastAsia="仿宋" w:cs="仿宋"/>
          <w:spacing w:val="-2"/>
          <w:sz w:val="32"/>
          <w:szCs w:val="32"/>
        </w:rPr>
        <w:t>1.部门设立及概况</w:t>
      </w:r>
      <w:bookmarkEnd w:id="2"/>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C00000"/>
          <w:sz w:val="32"/>
          <w:szCs w:val="32"/>
        </w:rPr>
      </w:pPr>
      <w:r>
        <w:rPr>
          <w:rFonts w:hint="default" w:ascii="仿宋_GB2312" w:hAnsi="仿宋_GB2312" w:eastAsia="仿宋_GB2312" w:cs="仿宋_GB2312"/>
          <w:snapToGrid w:val="0"/>
          <w:color w:val="auto"/>
          <w:sz w:val="32"/>
          <w:szCs w:val="32"/>
        </w:rPr>
        <w:t>金牛湖街道位于六合区东北部两省（苏、皖）三市（南京、扬州、滁州）交界处，街域面积166平方公里，人口</w:t>
      </w:r>
      <w:r>
        <w:rPr>
          <w:rFonts w:hint="eastAsia" w:ascii="仿宋_GB2312" w:hAnsi="仿宋_GB2312" w:eastAsia="仿宋_GB2312" w:cs="仿宋_GB2312"/>
          <w:snapToGrid w:val="0"/>
          <w:color w:val="auto"/>
          <w:sz w:val="32"/>
          <w:szCs w:val="32"/>
          <w:lang w:val="en-US" w:eastAsia="zh-CN"/>
        </w:rPr>
        <w:t>64124</w:t>
      </w:r>
      <w:r>
        <w:rPr>
          <w:rFonts w:hint="default" w:ascii="仿宋_GB2312" w:hAnsi="仿宋_GB2312" w:eastAsia="仿宋_GB2312" w:cs="仿宋_GB2312"/>
          <w:snapToGrid w:val="0"/>
          <w:color w:val="auto"/>
          <w:sz w:val="32"/>
          <w:szCs w:val="32"/>
        </w:rPr>
        <w:t>人，现辖5个社区、5个行政村。</w:t>
      </w:r>
      <w:r>
        <w:rPr>
          <w:rFonts w:hint="default" w:ascii="仿宋_GB2312" w:hAnsi="仿宋_GB2312" w:eastAsia="仿宋_GB2312" w:cs="仿宋_GB2312"/>
          <w:snapToGrid w:val="0"/>
          <w:color w:val="auto"/>
          <w:sz w:val="32"/>
          <w:szCs w:val="32"/>
          <w:u w:val="none"/>
        </w:rPr>
        <w:t>金牛湖街道党工委下设党委1个（金山村党委）、党总支1</w:t>
      </w:r>
      <w:r>
        <w:rPr>
          <w:rFonts w:hint="eastAsia" w:ascii="仿宋_GB2312" w:hAnsi="仿宋_GB2312" w:eastAsia="仿宋_GB2312" w:cs="仿宋_GB2312"/>
          <w:snapToGrid w:val="0"/>
          <w:color w:val="auto"/>
          <w:sz w:val="32"/>
          <w:szCs w:val="32"/>
          <w:u w:val="none"/>
          <w:lang w:val="en-US" w:eastAsia="zh-CN"/>
        </w:rPr>
        <w:t>0</w:t>
      </w:r>
      <w:r>
        <w:rPr>
          <w:rFonts w:hint="default" w:ascii="仿宋_GB2312" w:hAnsi="仿宋_GB2312" w:eastAsia="仿宋_GB2312" w:cs="仿宋_GB2312"/>
          <w:snapToGrid w:val="0"/>
          <w:color w:val="auto"/>
          <w:sz w:val="32"/>
          <w:szCs w:val="32"/>
          <w:u w:val="none"/>
        </w:rPr>
        <w:t>个（9个村居党总支、</w:t>
      </w:r>
      <w:r>
        <w:rPr>
          <w:rFonts w:hint="eastAsia" w:ascii="仿宋_GB2312" w:hAnsi="仿宋_GB2312" w:eastAsia="仿宋_GB2312" w:cs="仿宋_GB2312"/>
          <w:snapToGrid w:val="0"/>
          <w:color w:val="auto"/>
          <w:sz w:val="32"/>
          <w:szCs w:val="32"/>
          <w:u w:val="none"/>
          <w:lang w:val="en-US" w:eastAsia="zh-CN"/>
        </w:rPr>
        <w:t>1个</w:t>
      </w:r>
      <w:r>
        <w:rPr>
          <w:rFonts w:hint="default" w:ascii="仿宋_GB2312" w:hAnsi="仿宋_GB2312" w:eastAsia="仿宋_GB2312" w:cs="仿宋_GB2312"/>
          <w:snapToGrid w:val="0"/>
          <w:color w:val="auto"/>
          <w:sz w:val="32"/>
          <w:szCs w:val="32"/>
          <w:u w:val="none"/>
        </w:rPr>
        <w:t>“两新”组织党总支）、党支部11</w:t>
      </w:r>
      <w:r>
        <w:rPr>
          <w:rFonts w:hint="eastAsia" w:ascii="仿宋_GB2312" w:hAnsi="仿宋_GB2312" w:eastAsia="仿宋_GB2312" w:cs="仿宋_GB2312"/>
          <w:snapToGrid w:val="0"/>
          <w:color w:val="auto"/>
          <w:sz w:val="32"/>
          <w:szCs w:val="32"/>
          <w:u w:val="none"/>
          <w:lang w:val="en-US" w:eastAsia="zh-CN"/>
        </w:rPr>
        <w:t>6</w:t>
      </w:r>
      <w:r>
        <w:rPr>
          <w:rFonts w:hint="default" w:ascii="仿宋_GB2312" w:hAnsi="仿宋_GB2312" w:eastAsia="仿宋_GB2312" w:cs="仿宋_GB2312"/>
          <w:snapToGrid w:val="0"/>
          <w:color w:val="auto"/>
          <w:sz w:val="32"/>
          <w:szCs w:val="32"/>
          <w:u w:val="none"/>
        </w:rPr>
        <w:t>个（其中机关支部</w:t>
      </w:r>
      <w:r>
        <w:rPr>
          <w:rFonts w:hint="eastAsia" w:ascii="仿宋_GB2312" w:hAnsi="仿宋_GB2312" w:eastAsia="仿宋_GB2312" w:cs="仿宋_GB2312"/>
          <w:snapToGrid w:val="0"/>
          <w:color w:val="auto"/>
          <w:sz w:val="32"/>
          <w:szCs w:val="32"/>
          <w:u w:val="none"/>
          <w:lang w:val="en-US" w:eastAsia="zh-CN"/>
        </w:rPr>
        <w:t>6</w:t>
      </w:r>
      <w:r>
        <w:rPr>
          <w:rFonts w:hint="default" w:ascii="仿宋_GB2312" w:hAnsi="仿宋_GB2312" w:eastAsia="仿宋_GB2312" w:cs="仿宋_GB2312"/>
          <w:snapToGrid w:val="0"/>
          <w:color w:val="auto"/>
          <w:sz w:val="32"/>
          <w:szCs w:val="32"/>
          <w:u w:val="none"/>
        </w:rPr>
        <w:t>个、党总支下设党支部7</w:t>
      </w:r>
      <w:r>
        <w:rPr>
          <w:rFonts w:hint="eastAsia" w:ascii="仿宋_GB2312" w:hAnsi="仿宋_GB2312" w:eastAsia="仿宋_GB2312" w:cs="仿宋_GB2312"/>
          <w:snapToGrid w:val="0"/>
          <w:color w:val="auto"/>
          <w:sz w:val="32"/>
          <w:szCs w:val="32"/>
          <w:u w:val="none"/>
          <w:lang w:val="en-US" w:eastAsia="zh-CN"/>
        </w:rPr>
        <w:t>6</w:t>
      </w:r>
      <w:r>
        <w:rPr>
          <w:rFonts w:hint="default" w:ascii="仿宋_GB2312" w:hAnsi="仿宋_GB2312" w:eastAsia="仿宋_GB2312" w:cs="仿宋_GB2312"/>
          <w:snapToGrid w:val="0"/>
          <w:color w:val="auto"/>
          <w:sz w:val="32"/>
          <w:szCs w:val="32"/>
          <w:u w:val="none"/>
        </w:rPr>
        <w:t>个、“两新”党组织3</w:t>
      </w:r>
      <w:r>
        <w:rPr>
          <w:rFonts w:hint="eastAsia" w:ascii="仿宋_GB2312" w:hAnsi="仿宋_GB2312" w:eastAsia="仿宋_GB2312" w:cs="仿宋_GB2312"/>
          <w:snapToGrid w:val="0"/>
          <w:color w:val="auto"/>
          <w:sz w:val="32"/>
          <w:szCs w:val="32"/>
          <w:u w:val="none"/>
          <w:lang w:val="en-US" w:eastAsia="zh-CN"/>
        </w:rPr>
        <w:t>4</w:t>
      </w:r>
      <w:r>
        <w:rPr>
          <w:rFonts w:hint="default" w:ascii="仿宋_GB2312" w:hAnsi="仿宋_GB2312" w:eastAsia="仿宋_GB2312" w:cs="仿宋_GB2312"/>
          <w:snapToGrid w:val="0"/>
          <w:color w:val="auto"/>
          <w:sz w:val="32"/>
          <w:szCs w:val="32"/>
          <w:u w:val="none"/>
        </w:rPr>
        <w:t>个，现有党员</w:t>
      </w:r>
      <w:r>
        <w:rPr>
          <w:rFonts w:hint="eastAsia" w:ascii="仿宋_GB2312" w:hAnsi="仿宋_GB2312" w:eastAsia="仿宋_GB2312" w:cs="仿宋_GB2312"/>
          <w:snapToGrid w:val="0"/>
          <w:color w:val="auto"/>
          <w:sz w:val="32"/>
          <w:szCs w:val="32"/>
          <w:u w:val="none"/>
          <w:lang w:eastAsia="zh-CN"/>
        </w:rPr>
        <w:t>（</w:t>
      </w:r>
      <w:r>
        <w:rPr>
          <w:rFonts w:hint="eastAsia" w:ascii="仿宋_GB2312" w:hAnsi="仿宋_GB2312" w:eastAsia="仿宋_GB2312" w:cs="仿宋_GB2312"/>
          <w:snapToGrid w:val="0"/>
          <w:color w:val="auto"/>
          <w:sz w:val="32"/>
          <w:szCs w:val="32"/>
          <w:u w:val="none"/>
          <w:lang w:val="en-US" w:eastAsia="zh-CN"/>
        </w:rPr>
        <w:t>含预备</w:t>
      </w:r>
      <w:r>
        <w:rPr>
          <w:rFonts w:hint="eastAsia" w:ascii="仿宋_GB2312" w:hAnsi="仿宋_GB2312" w:eastAsia="仿宋_GB2312" w:cs="仿宋_GB2312"/>
          <w:snapToGrid w:val="0"/>
          <w:color w:val="auto"/>
          <w:sz w:val="32"/>
          <w:szCs w:val="32"/>
          <w:u w:val="none"/>
          <w:lang w:eastAsia="zh-CN"/>
        </w:rPr>
        <w:t>）</w:t>
      </w:r>
      <w:r>
        <w:rPr>
          <w:rFonts w:hint="default" w:ascii="仿宋_GB2312" w:hAnsi="仿宋_GB2312" w:eastAsia="仿宋_GB2312" w:cs="仿宋_GB2312"/>
          <w:snapToGrid w:val="0"/>
          <w:color w:val="auto"/>
          <w:sz w:val="32"/>
          <w:szCs w:val="32"/>
          <w:u w:val="none"/>
        </w:rPr>
        <w:t>19</w:t>
      </w:r>
      <w:r>
        <w:rPr>
          <w:rFonts w:hint="eastAsia" w:ascii="仿宋_GB2312" w:hAnsi="仿宋_GB2312" w:eastAsia="仿宋_GB2312" w:cs="仿宋_GB2312"/>
          <w:snapToGrid w:val="0"/>
          <w:color w:val="auto"/>
          <w:sz w:val="32"/>
          <w:szCs w:val="32"/>
          <w:u w:val="none"/>
          <w:lang w:val="en-US" w:eastAsia="zh-CN"/>
        </w:rPr>
        <w:t>22</w:t>
      </w:r>
      <w:r>
        <w:rPr>
          <w:rFonts w:hint="default" w:ascii="仿宋_GB2312" w:hAnsi="仿宋_GB2312" w:eastAsia="仿宋_GB2312" w:cs="仿宋_GB2312"/>
          <w:snapToGrid w:val="0"/>
          <w:color w:val="auto"/>
          <w:sz w:val="32"/>
          <w:szCs w:val="32"/>
          <w:u w:val="none"/>
        </w:rPr>
        <w:t>人。</w:t>
      </w:r>
      <w:r>
        <w:rPr>
          <w:rFonts w:hint="default" w:ascii="仿宋_GB2312" w:hAnsi="仿宋_GB2312" w:eastAsia="仿宋_GB2312" w:cs="仿宋_GB2312"/>
          <w:snapToGrid w:val="0"/>
          <w:color w:val="auto"/>
          <w:sz w:val="32"/>
          <w:szCs w:val="32"/>
        </w:rPr>
        <w:t>街道是全国第三批发展改革试点小城镇、江苏省国家新型城镇化综合试点街镇、南京市重点打造的10个特色街镇和统筹城乡发展先导试点街镇之一，也是江北新区重点规划建设的8个新市镇之一。按照市高质量发展考核要求，街道发展定位为现代服务业，并以优越的交通条件、多元的产业体系、合理的城镇布局、丰富的旅游资源形成了联动发展的旅游格局</w:t>
      </w:r>
      <w:r>
        <w:rPr>
          <w:rFonts w:hint="default" w:ascii="仿宋_GB2312" w:hAnsi="仿宋_GB2312" w:eastAsia="仿宋_GB2312" w:cs="仿宋_GB2312"/>
          <w:snapToGrid w:val="0"/>
          <w:color w:val="C0000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sz w:val="32"/>
          <w:szCs w:val="32"/>
        </w:rPr>
      </w:pPr>
      <w:r>
        <w:rPr>
          <w:rFonts w:hint="eastAsia" w:ascii="Times New Roman" w:hAnsi="Times New Roman" w:eastAsia="方正楷体简体" w:cs="Times New Roman"/>
          <w:b w:val="0"/>
          <w:bCs/>
          <w:sz w:val="32"/>
          <w:szCs w:val="32"/>
          <w:lang w:val="en-US" w:eastAsia="zh-CN"/>
        </w:rPr>
        <w:t>（</w:t>
      </w:r>
      <w:r>
        <w:rPr>
          <w:rFonts w:hint="eastAsia" w:ascii="仿宋_GB2312" w:hAnsi="仿宋_GB2312" w:eastAsia="仿宋_GB2312" w:cs="仿宋_GB2312"/>
          <w:snapToGrid w:val="0"/>
          <w:sz w:val="32"/>
          <w:szCs w:val="32"/>
          <w:lang w:val="en-US" w:eastAsia="zh-CN"/>
        </w:rPr>
        <w:t>1）</w:t>
      </w:r>
      <w:r>
        <w:rPr>
          <w:rFonts w:hint="default" w:ascii="仿宋_GB2312" w:hAnsi="仿宋_GB2312" w:eastAsia="仿宋_GB2312" w:cs="仿宋_GB2312"/>
          <w:snapToGrid w:val="0"/>
          <w:sz w:val="32"/>
          <w:szCs w:val="32"/>
          <w:lang w:val="en-US" w:eastAsia="zh-CN"/>
        </w:rPr>
        <w:t>科学精准筑牢疫情防控防线。</w:t>
      </w:r>
      <w:r>
        <w:rPr>
          <w:rFonts w:hint="default" w:ascii="仿宋_GB2312" w:hAnsi="仿宋_GB2312" w:eastAsia="仿宋_GB2312" w:cs="仿宋_GB2312"/>
          <w:snapToGrid w:val="0"/>
          <w:sz w:val="32"/>
          <w:szCs w:val="32"/>
        </w:rPr>
        <w:t>国务院新十条优化措施</w:t>
      </w:r>
      <w:r>
        <w:rPr>
          <w:rFonts w:hint="default" w:ascii="仿宋_GB2312" w:hAnsi="仿宋_GB2312" w:eastAsia="仿宋_GB2312" w:cs="仿宋_GB2312"/>
          <w:snapToGrid w:val="0"/>
          <w:sz w:val="32"/>
          <w:szCs w:val="32"/>
          <w:lang w:val="en-US" w:eastAsia="zh-CN"/>
        </w:rPr>
        <w:t>实施前，街道坚持“动态清零”总方针不动摇，按时组织全员规模核酸检测，加强发动，严密组织，平均每轮检测人数3.73万人。在省、市界重点县乡道设置4处交通查验点，落实24小时全天候检查，逢车必查，逢人必验。加强农贸市场、宾馆、商场超市、养老机构等人员密集、空间密闭场所监督检查，强化企业、建筑工地防控举措，实行闭环管理。</w:t>
      </w:r>
      <w:r>
        <w:rPr>
          <w:rFonts w:hint="default" w:ascii="仿宋_GB2312" w:hAnsi="仿宋_GB2312" w:eastAsia="仿宋_GB2312" w:cs="仿宋_GB2312"/>
          <w:snapToGrid w:val="0"/>
          <w:sz w:val="32"/>
          <w:szCs w:val="32"/>
        </w:rPr>
        <w:t>国务院新十条优化措施</w:t>
      </w:r>
      <w:r>
        <w:rPr>
          <w:rFonts w:hint="default" w:ascii="仿宋_GB2312" w:hAnsi="仿宋_GB2312" w:eastAsia="仿宋_GB2312" w:cs="仿宋_GB2312"/>
          <w:snapToGrid w:val="0"/>
          <w:sz w:val="32"/>
          <w:szCs w:val="32"/>
          <w:lang w:val="en-US" w:eastAsia="zh-CN"/>
        </w:rPr>
        <w:t>实施后，街道第一时间</w:t>
      </w:r>
      <w:r>
        <w:rPr>
          <w:rFonts w:hint="default" w:ascii="仿宋_GB2312" w:hAnsi="仿宋_GB2312" w:eastAsia="仿宋_GB2312" w:cs="仿宋_GB2312"/>
          <w:snapToGrid w:val="0"/>
          <w:sz w:val="32"/>
          <w:szCs w:val="32"/>
          <w:lang w:eastAsia="zh-CN"/>
        </w:rPr>
        <w:t>完善全方位服务保障体系，构建“村社区+网格+微网格（物业小区、楼栋、村小组）+居民”的防控体系，</w:t>
      </w:r>
      <w:r>
        <w:rPr>
          <w:rFonts w:hint="default" w:ascii="仿宋_GB2312" w:hAnsi="仿宋_GB2312" w:eastAsia="仿宋_GB2312" w:cs="仿宋_GB2312"/>
          <w:snapToGrid w:val="0"/>
          <w:sz w:val="32"/>
          <w:szCs w:val="32"/>
          <w:lang w:val="en-US" w:eastAsia="zh-CN"/>
        </w:rPr>
        <w:t>以10个村居为基本，设置</w:t>
      </w:r>
      <w:r>
        <w:rPr>
          <w:rFonts w:hint="default" w:ascii="仿宋_GB2312" w:hAnsi="仿宋_GB2312" w:eastAsia="仿宋_GB2312" w:cs="仿宋_GB2312"/>
          <w:snapToGrid w:val="0"/>
          <w:sz w:val="32"/>
          <w:szCs w:val="32"/>
          <w:lang w:eastAsia="zh-CN"/>
        </w:rPr>
        <w:t>网格77个，按照50-100户为单位细分设置微网格267个，明确设置2名网格长、</w:t>
      </w:r>
      <w:r>
        <w:rPr>
          <w:rFonts w:hint="default" w:ascii="仿宋_GB2312" w:hAnsi="仿宋_GB2312" w:eastAsia="仿宋_GB2312" w:cs="仿宋_GB2312"/>
          <w:snapToGrid w:val="0"/>
          <w:sz w:val="32"/>
          <w:szCs w:val="32"/>
          <w:lang w:val="en-US" w:eastAsia="zh-CN"/>
        </w:rPr>
        <w:t>1名</w:t>
      </w:r>
      <w:r>
        <w:rPr>
          <w:rFonts w:hint="default" w:ascii="仿宋_GB2312" w:hAnsi="仿宋_GB2312" w:eastAsia="仿宋_GB2312" w:cs="仿宋_GB2312"/>
          <w:snapToGrid w:val="0"/>
          <w:sz w:val="32"/>
          <w:szCs w:val="32"/>
          <w:lang w:eastAsia="zh-CN"/>
        </w:rPr>
        <w:t>微网格长，将党员干部、民警、村医等各方力量纳入微网格。</w:t>
      </w:r>
      <w:r>
        <w:rPr>
          <w:rFonts w:hint="default" w:ascii="仿宋_GB2312" w:hAnsi="仿宋_GB2312" w:eastAsia="仿宋_GB2312" w:cs="仿宋_GB2312"/>
          <w:snapToGrid w:val="0"/>
          <w:sz w:val="32"/>
          <w:szCs w:val="32"/>
          <w:lang w:val="en-US" w:eastAsia="zh-CN"/>
        </w:rPr>
        <w:t>同时全面</w:t>
      </w:r>
      <w:r>
        <w:rPr>
          <w:rFonts w:hint="default" w:ascii="仿宋_GB2312" w:hAnsi="仿宋_GB2312" w:eastAsia="仿宋_GB2312" w:cs="仿宋_GB2312"/>
          <w:snapToGrid w:val="0"/>
          <w:sz w:val="32"/>
          <w:szCs w:val="32"/>
          <w:lang w:eastAsia="zh-CN"/>
        </w:rPr>
        <w:t>摸清微网格居民情况，</w:t>
      </w:r>
      <w:r>
        <w:rPr>
          <w:rFonts w:hint="default" w:ascii="仿宋_GB2312" w:hAnsi="仿宋_GB2312" w:eastAsia="仿宋_GB2312" w:cs="仿宋_GB2312"/>
          <w:snapToGrid w:val="0"/>
          <w:sz w:val="32"/>
          <w:szCs w:val="32"/>
          <w:lang w:val="en-US" w:eastAsia="zh-CN"/>
        </w:rPr>
        <w:t>社区卫生服务中心</w:t>
      </w:r>
      <w:r>
        <w:rPr>
          <w:rFonts w:hint="default" w:ascii="仿宋_GB2312" w:hAnsi="仿宋_GB2312" w:eastAsia="仿宋_GB2312" w:cs="仿宋_GB2312"/>
          <w:snapToGrid w:val="0"/>
          <w:sz w:val="32"/>
          <w:szCs w:val="32"/>
          <w:lang w:eastAsia="zh-CN"/>
        </w:rPr>
        <w:t>设置发热门诊，加强接诊力量配备，加强物资保障，清点存量物资，明确需求缺口，加快采购配备。</w:t>
      </w:r>
      <w:r>
        <w:rPr>
          <w:rFonts w:hint="default" w:ascii="仿宋_GB2312" w:hAnsi="仿宋_GB2312" w:eastAsia="仿宋_GB2312" w:cs="仿宋_GB2312"/>
          <w:snapToGrid w:val="0"/>
          <w:sz w:val="32"/>
          <w:szCs w:val="32"/>
          <w:lang w:val="en-US" w:eastAsia="zh-CN"/>
        </w:rPr>
        <w:t>利用网格员上门宣传，电话沟通、公众号发布疫苗接种科普信息等多种形式，为老人答疑解惑，进一步提升60岁以上人群疫苗接种率。</w:t>
      </w:r>
      <w:r>
        <w:rPr>
          <w:rFonts w:hint="default" w:ascii="仿宋_GB2312" w:hAnsi="仿宋_GB2312" w:eastAsia="仿宋_GB2312" w:cs="仿宋_GB2312"/>
          <w:snapToGrid w:val="0"/>
          <w:sz w:val="32"/>
          <w:szCs w:val="32"/>
        </w:rPr>
        <w:t>广泛开展疫情防控知识和最新防控政策宣传，提醒群众做好个人防护</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rPr>
        <w:t>引导群众主动配合</w:t>
      </w:r>
      <w:r>
        <w:rPr>
          <w:rFonts w:hint="default" w:ascii="仿宋_GB2312" w:hAnsi="仿宋_GB2312" w:eastAsia="仿宋_GB2312" w:cs="仿宋_GB2312"/>
          <w:snapToGrid w:val="0"/>
          <w:sz w:val="32"/>
          <w:szCs w:val="32"/>
          <w:lang w:eastAsia="zh-CN"/>
        </w:rPr>
        <w:t>做好抗原</w:t>
      </w:r>
      <w:r>
        <w:rPr>
          <w:rFonts w:hint="default" w:ascii="仿宋_GB2312" w:hAnsi="仿宋_GB2312" w:eastAsia="仿宋_GB2312" w:cs="仿宋_GB2312"/>
          <w:snapToGrid w:val="0"/>
          <w:sz w:val="32"/>
          <w:szCs w:val="32"/>
        </w:rPr>
        <w:t>检测、居家观察、隔离管控等防疫措施，缓解群众焦虑情绪，营造良好的群防群控氛围。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（2）</w:t>
      </w:r>
      <w:r>
        <w:rPr>
          <w:rFonts w:hint="default" w:ascii="仿宋_GB2312" w:hAnsi="仿宋_GB2312" w:eastAsia="仿宋_GB2312" w:cs="仿宋_GB2312"/>
          <w:snapToGrid w:val="0"/>
          <w:sz w:val="32"/>
          <w:szCs w:val="32"/>
          <w:lang w:val="en-US" w:eastAsia="zh-CN"/>
        </w:rPr>
        <w:t>民生保障持续向好。</w:t>
      </w:r>
      <w:r>
        <w:rPr>
          <w:rFonts w:hint="default" w:ascii="仿宋_GB2312" w:hAnsi="仿宋_GB2312" w:eastAsia="仿宋_GB2312" w:cs="仿宋_GB2312"/>
          <w:snapToGrid w:val="0"/>
          <w:sz w:val="32"/>
          <w:szCs w:val="32"/>
          <w:lang w:val="zh-TW" w:eastAsia="zh-TW"/>
        </w:rPr>
        <w:t>坚持聚焦民生民情，做好兜底保障，优化基层公共服务设施配置，提升群众幸福感</w:t>
      </w:r>
      <w:r>
        <w:rPr>
          <w:rFonts w:hint="default" w:ascii="仿宋_GB2312" w:hAnsi="仿宋_GB2312" w:eastAsia="仿宋_GB2312" w:cs="仿宋_GB2312"/>
          <w:snapToGrid w:val="0"/>
          <w:sz w:val="32"/>
          <w:szCs w:val="32"/>
          <w:lang w:val="zh-CN" w:eastAsia="zh-CN"/>
        </w:rPr>
        <w:t>。</w:t>
      </w:r>
      <w:r>
        <w:rPr>
          <w:rFonts w:hint="default" w:ascii="仿宋_GB2312" w:hAnsi="仿宋_GB2312" w:eastAsia="仿宋_GB2312" w:cs="仿宋_GB2312"/>
          <w:snapToGrid w:val="0"/>
          <w:sz w:val="32"/>
          <w:szCs w:val="32"/>
        </w:rPr>
        <w:t>夯实民生保障</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rPr>
        <w:t>做好社</w:t>
      </w:r>
      <w:r>
        <w:rPr>
          <w:rFonts w:hint="default" w:ascii="仿宋_GB2312" w:hAnsi="仿宋_GB2312" w:eastAsia="仿宋_GB2312" w:cs="仿宋_GB2312"/>
          <w:snapToGrid w:val="0"/>
          <w:sz w:val="32"/>
          <w:szCs w:val="32"/>
          <w:lang w:val="en-US" w:eastAsia="zh-CN"/>
        </w:rPr>
        <w:t>保</w:t>
      </w:r>
      <w:r>
        <w:rPr>
          <w:rFonts w:hint="default" w:ascii="仿宋_GB2312" w:hAnsi="仿宋_GB2312" w:eastAsia="仿宋_GB2312" w:cs="仿宋_GB2312"/>
          <w:snapToGrid w:val="0"/>
          <w:sz w:val="32"/>
          <w:szCs w:val="32"/>
        </w:rPr>
        <w:t>征缴</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lang w:val="zh-TW" w:eastAsia="zh-TW"/>
        </w:rPr>
        <w:t>城乡居民养老保险参保率</w:t>
      </w:r>
      <w:r>
        <w:rPr>
          <w:rFonts w:hint="default" w:ascii="仿宋_GB2312" w:hAnsi="仿宋_GB2312" w:eastAsia="仿宋_GB2312" w:cs="仿宋_GB2312"/>
          <w:snapToGrid w:val="0"/>
          <w:sz w:val="32"/>
          <w:szCs w:val="32"/>
          <w:lang w:val="en-US" w:eastAsia="zh-CN"/>
        </w:rPr>
        <w:t>达93</w:t>
      </w:r>
      <w:r>
        <w:rPr>
          <w:rFonts w:hint="default" w:ascii="仿宋_GB2312" w:hAnsi="仿宋_GB2312" w:eastAsia="仿宋_GB2312" w:cs="仿宋_GB2312"/>
          <w:snapToGrid w:val="0"/>
          <w:sz w:val="32"/>
          <w:szCs w:val="32"/>
          <w:lang w:val="zh-TW" w:eastAsia="zh-TW"/>
        </w:rPr>
        <w:t>%</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en-US" w:eastAsia="zh-CN"/>
        </w:rPr>
        <w:t>积极打造“15分钟医保服务圈”，方便群众就近办理医保业务，</w:t>
      </w:r>
      <w:r>
        <w:rPr>
          <w:rFonts w:hint="default" w:ascii="仿宋_GB2312" w:hAnsi="仿宋_GB2312" w:eastAsia="仿宋_GB2312" w:cs="仿宋_GB2312"/>
          <w:snapToGrid w:val="0"/>
          <w:sz w:val="32"/>
          <w:szCs w:val="32"/>
        </w:rPr>
        <w:t>实现应保尽保</w:t>
      </w:r>
      <w:r>
        <w:rPr>
          <w:rFonts w:hint="default" w:ascii="仿宋_GB2312" w:hAnsi="仿宋_GB2312" w:eastAsia="仿宋_GB2312" w:cs="仿宋_GB2312"/>
          <w:snapToGrid w:val="0"/>
          <w:sz w:val="32"/>
          <w:szCs w:val="32"/>
          <w:lang w:val="en-US" w:eastAsia="zh-CN"/>
        </w:rPr>
        <w:t>。</w:t>
      </w:r>
      <w:r>
        <w:rPr>
          <w:rFonts w:hint="default" w:ascii="仿宋_GB2312" w:hAnsi="仿宋_GB2312" w:eastAsia="仿宋_GB2312" w:cs="仿宋_GB2312"/>
          <w:snapToGrid w:val="0"/>
          <w:sz w:val="32"/>
          <w:szCs w:val="32"/>
          <w:lang w:val="zh-TW" w:eastAsia="zh-TW"/>
        </w:rPr>
        <w:t>优化岗位供需</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新增城镇就业人数</w:t>
      </w:r>
      <w:r>
        <w:rPr>
          <w:rFonts w:hint="default" w:ascii="仿宋_GB2312" w:hAnsi="仿宋_GB2312" w:eastAsia="仿宋_GB2312" w:cs="仿宋_GB2312"/>
          <w:snapToGrid w:val="0"/>
          <w:sz w:val="32"/>
          <w:szCs w:val="32"/>
          <w:lang w:val="en-US" w:eastAsia="zh-CN"/>
        </w:rPr>
        <w:t>1429</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大学生</w:t>
      </w:r>
      <w:r>
        <w:rPr>
          <w:rFonts w:hint="default" w:ascii="仿宋_GB2312" w:hAnsi="仿宋_GB2312" w:eastAsia="仿宋_GB2312" w:cs="仿宋_GB2312"/>
          <w:snapToGrid w:val="0"/>
          <w:sz w:val="32"/>
          <w:szCs w:val="32"/>
          <w:lang w:val="en-US" w:eastAsia="zh-CN"/>
        </w:rPr>
        <w:t>创业21</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回国就业留学生</w:t>
      </w:r>
      <w:r>
        <w:rPr>
          <w:rFonts w:hint="default" w:ascii="仿宋_GB2312" w:hAnsi="仿宋_GB2312" w:eastAsia="仿宋_GB2312" w:cs="仿宋_GB2312"/>
          <w:snapToGrid w:val="0"/>
          <w:sz w:val="32"/>
          <w:szCs w:val="32"/>
          <w:lang w:val="en-US" w:eastAsia="zh-CN"/>
        </w:rPr>
        <w:t>10</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高技能人才</w:t>
      </w:r>
      <w:r>
        <w:rPr>
          <w:rFonts w:hint="default" w:ascii="仿宋_GB2312" w:hAnsi="仿宋_GB2312" w:eastAsia="仿宋_GB2312" w:cs="仿宋_GB2312"/>
          <w:snapToGrid w:val="0"/>
          <w:sz w:val="32"/>
          <w:szCs w:val="32"/>
          <w:lang w:val="en-US" w:eastAsia="zh-CN"/>
        </w:rPr>
        <w:t>57</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援助就业困难人员</w:t>
      </w:r>
      <w:r>
        <w:rPr>
          <w:rFonts w:hint="default" w:ascii="仿宋_GB2312" w:hAnsi="仿宋_GB2312" w:eastAsia="仿宋_GB2312" w:cs="仿宋_GB2312"/>
          <w:snapToGrid w:val="0"/>
          <w:sz w:val="32"/>
          <w:szCs w:val="32"/>
          <w:lang w:val="en-US" w:eastAsia="zh-CN"/>
        </w:rPr>
        <w:t>157</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培育自主创业</w:t>
      </w:r>
      <w:r>
        <w:rPr>
          <w:rFonts w:hint="default" w:ascii="仿宋_GB2312" w:hAnsi="仿宋_GB2312" w:eastAsia="仿宋_GB2312" w:cs="仿宋_GB2312"/>
          <w:snapToGrid w:val="0"/>
          <w:sz w:val="32"/>
          <w:szCs w:val="32"/>
          <w:lang w:val="en-US" w:eastAsia="zh-CN"/>
        </w:rPr>
        <w:t>162</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en-US" w:eastAsia="zh-CN"/>
        </w:rPr>
        <w:t>创业带动就业637人，</w:t>
      </w:r>
      <w:r>
        <w:rPr>
          <w:rFonts w:hint="default" w:ascii="仿宋_GB2312" w:hAnsi="仿宋_GB2312" w:eastAsia="仿宋_GB2312" w:cs="仿宋_GB2312"/>
          <w:snapToGrid w:val="0"/>
          <w:sz w:val="32"/>
          <w:szCs w:val="32"/>
          <w:lang w:val="zh-TW" w:eastAsia="zh-TW"/>
        </w:rPr>
        <w:t>农村劳动力转移</w:t>
      </w:r>
      <w:r>
        <w:rPr>
          <w:rFonts w:hint="default" w:ascii="仿宋_GB2312" w:hAnsi="仿宋_GB2312" w:eastAsia="仿宋_GB2312" w:cs="仿宋_GB2312"/>
          <w:snapToGrid w:val="0"/>
          <w:sz w:val="32"/>
          <w:szCs w:val="32"/>
          <w:lang w:val="en-US" w:eastAsia="zh-CN"/>
        </w:rPr>
        <w:t>190</w:t>
      </w:r>
      <w:r>
        <w:rPr>
          <w:rFonts w:hint="default" w:ascii="仿宋_GB2312" w:hAnsi="仿宋_GB2312" w:eastAsia="仿宋_GB2312" w:cs="仿宋_GB2312"/>
          <w:snapToGrid w:val="0"/>
          <w:sz w:val="32"/>
          <w:szCs w:val="32"/>
          <w:lang w:val="zh-TW" w:eastAsia="zh-TW"/>
        </w:rPr>
        <w:t>人。落实援企稳岗</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指导企业开展“适岗、稳岗培训”</w:t>
      </w:r>
      <w:r>
        <w:rPr>
          <w:rFonts w:hint="default" w:ascii="仿宋_GB2312" w:hAnsi="仿宋_GB2312" w:eastAsia="仿宋_GB2312" w:cs="仿宋_GB2312"/>
          <w:snapToGrid w:val="0"/>
          <w:sz w:val="32"/>
          <w:szCs w:val="32"/>
          <w:lang w:val="en-US" w:eastAsia="zh-CN"/>
        </w:rPr>
        <w:t>251</w:t>
      </w:r>
      <w:r>
        <w:rPr>
          <w:rFonts w:hint="default" w:ascii="仿宋_GB2312" w:hAnsi="仿宋_GB2312" w:eastAsia="仿宋_GB2312" w:cs="仿宋_GB2312"/>
          <w:snapToGrid w:val="0"/>
          <w:sz w:val="32"/>
          <w:szCs w:val="32"/>
          <w:lang w:val="zh-TW" w:eastAsia="zh-TW"/>
        </w:rPr>
        <w:t>人，组织技能培训4期160人，创业培训2期</w:t>
      </w:r>
      <w:r>
        <w:rPr>
          <w:rFonts w:hint="default" w:ascii="仿宋_GB2312" w:hAnsi="仿宋_GB2312" w:eastAsia="仿宋_GB2312" w:cs="仿宋_GB2312"/>
          <w:snapToGrid w:val="0"/>
          <w:sz w:val="32"/>
          <w:szCs w:val="32"/>
          <w:lang w:val="en-US" w:eastAsia="zh-CN"/>
        </w:rPr>
        <w:t>80</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en-US" w:eastAsia="zh-CN"/>
        </w:rPr>
        <w:t>速鸿电子有限公司</w:t>
      </w:r>
      <w:r>
        <w:rPr>
          <w:rFonts w:hint="default" w:ascii="仿宋_GB2312" w:hAnsi="仿宋_GB2312" w:eastAsia="仿宋_GB2312" w:cs="仿宋_GB2312"/>
          <w:snapToGrid w:val="0"/>
          <w:sz w:val="32"/>
          <w:szCs w:val="32"/>
          <w:lang w:val="zh-TW" w:eastAsia="zh-TW"/>
        </w:rPr>
        <w:t>完成企业职工职业技能等级认定2</w:t>
      </w:r>
      <w:r>
        <w:rPr>
          <w:rFonts w:hint="default" w:ascii="仿宋_GB2312" w:hAnsi="仿宋_GB2312" w:eastAsia="仿宋_GB2312" w:cs="仿宋_GB2312"/>
          <w:snapToGrid w:val="0"/>
          <w:sz w:val="32"/>
          <w:szCs w:val="32"/>
          <w:lang w:val="en-US" w:eastAsia="zh-CN"/>
        </w:rPr>
        <w:t>14</w:t>
      </w:r>
      <w:r>
        <w:rPr>
          <w:rFonts w:hint="default" w:ascii="仿宋_GB2312" w:hAnsi="仿宋_GB2312" w:eastAsia="仿宋_GB2312" w:cs="仿宋_GB2312"/>
          <w:snapToGrid w:val="0"/>
          <w:sz w:val="32"/>
          <w:szCs w:val="32"/>
          <w:lang w:val="zh-TW" w:eastAsia="zh-TW"/>
        </w:rPr>
        <w:t>人</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en-US" w:eastAsia="zh-CN"/>
        </w:rPr>
        <w:t>积极打造“茉莉创客小镇”，出台促就业各项奖补措施，促进高质量就业创业</w:t>
      </w:r>
      <w:r>
        <w:rPr>
          <w:rFonts w:hint="default" w:ascii="仿宋_GB2312" w:hAnsi="仿宋_GB2312" w:eastAsia="仿宋_GB2312" w:cs="仿宋_GB2312"/>
          <w:snapToGrid w:val="0"/>
          <w:sz w:val="32"/>
          <w:szCs w:val="32"/>
          <w:lang w:val="zh-TW" w:eastAsia="zh-TW"/>
        </w:rPr>
        <w:t>。优化便民服务环境。提供“一站式”便民服务，受理“建房一件事” 112项，办结67项；办结“公民离世一件事” 17</w:t>
      </w:r>
      <w:r>
        <w:rPr>
          <w:rFonts w:hint="default" w:ascii="仿宋_GB2312" w:hAnsi="仿宋_GB2312" w:eastAsia="仿宋_GB2312" w:cs="仿宋_GB2312"/>
          <w:snapToGrid w:val="0"/>
          <w:sz w:val="32"/>
          <w:szCs w:val="32"/>
          <w:lang w:val="en-US" w:eastAsia="zh-CN"/>
        </w:rPr>
        <w:t>件</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“一业一证” 10件</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办理“跨省通办、省内通办” 8件。共受理办结各类事项6684件，综合满意率达99.95%。</w:t>
      </w:r>
      <w:r>
        <w:rPr>
          <w:rFonts w:hint="default" w:ascii="仿宋_GB2312" w:hAnsi="仿宋_GB2312" w:eastAsia="仿宋_GB2312" w:cs="仿宋_GB2312"/>
          <w:snapToGrid w:val="0"/>
          <w:sz w:val="32"/>
          <w:szCs w:val="32"/>
          <w:lang w:val="en-US" w:eastAsia="zh-CN"/>
        </w:rPr>
        <w:t>关心关爱困难群体。组织开展特殊困难群体救助帮扶，建设标准化区域性养老服务中心，建成未成年人保护工作站1个，梳理排查城乡低保472户984人，分散供养特困老人411人，独居、空巢老人25人，孤儿、事实无人扶养儿童、重病重残困境儿童22人，生活困难残疾人930人，确保全部跟踪帮扶落到实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sz w:val="32"/>
          <w:szCs w:val="32"/>
          <w:lang w:eastAsia="zh-Hans"/>
        </w:rPr>
      </w:pPr>
      <w:r>
        <w:rPr>
          <w:rFonts w:hint="eastAsia" w:ascii="仿宋_GB2312" w:hAnsi="仿宋_GB2312" w:eastAsia="仿宋_GB2312" w:cs="仿宋_GB2312"/>
          <w:snapToGrid w:val="0"/>
          <w:sz w:val="32"/>
          <w:szCs w:val="32"/>
          <w:lang w:val="en-US" w:eastAsia="zh-CN"/>
        </w:rPr>
        <w:t>（3）</w:t>
      </w:r>
      <w:r>
        <w:rPr>
          <w:rFonts w:hint="default" w:ascii="仿宋_GB2312" w:hAnsi="仿宋_GB2312" w:eastAsia="仿宋_GB2312" w:cs="仿宋_GB2312"/>
          <w:snapToGrid w:val="0"/>
          <w:sz w:val="32"/>
          <w:szCs w:val="32"/>
          <w:lang w:val="en-US" w:eastAsia="zh-CN"/>
        </w:rPr>
        <w:t>重点</w:t>
      </w:r>
      <w:r>
        <w:rPr>
          <w:rFonts w:hint="default" w:ascii="仿宋_GB2312" w:hAnsi="仿宋_GB2312" w:eastAsia="仿宋_GB2312" w:cs="仿宋_GB2312"/>
          <w:snapToGrid w:val="0"/>
          <w:sz w:val="32"/>
          <w:szCs w:val="32"/>
          <w:lang w:val="zh-TW" w:eastAsia="zh-TW"/>
        </w:rPr>
        <w:t>项目稳步推进</w:t>
      </w:r>
      <w:r>
        <w:rPr>
          <w:rFonts w:hint="default" w:ascii="仿宋_GB2312" w:hAnsi="仿宋_GB2312" w:eastAsia="仿宋_GB2312" w:cs="仿宋_GB2312"/>
          <w:snapToGrid w:val="0"/>
          <w:sz w:val="32"/>
          <w:szCs w:val="32"/>
          <w:lang w:eastAsia="zh-TW"/>
        </w:rPr>
        <w:t>。</w:t>
      </w:r>
      <w:r>
        <w:rPr>
          <w:rFonts w:hint="default" w:ascii="仿宋_GB2312" w:hAnsi="仿宋_GB2312" w:eastAsia="仿宋_GB2312" w:cs="仿宋_GB2312"/>
          <w:snapToGrid w:val="0"/>
          <w:sz w:val="32"/>
          <w:szCs w:val="32"/>
          <w:lang w:val="zh-TW" w:eastAsia="zh-TW"/>
        </w:rPr>
        <w:t>对照街道年度工作目标，明确街道重点项目，倒排时序进度，实行挂图作战</w:t>
      </w:r>
      <w:r>
        <w:rPr>
          <w:rFonts w:hint="default" w:ascii="仿宋_GB2312" w:hAnsi="仿宋_GB2312" w:eastAsia="仿宋_GB2312" w:cs="仿宋_GB2312"/>
          <w:snapToGrid w:val="0"/>
          <w:sz w:val="32"/>
          <w:szCs w:val="32"/>
          <w:lang w:val="zh-TW" w:eastAsia="zh-CN"/>
        </w:rPr>
        <w:t>。</w:t>
      </w:r>
      <w:r>
        <w:rPr>
          <w:rFonts w:hint="default" w:ascii="仿宋_GB2312" w:hAnsi="仿宋_GB2312" w:eastAsia="仿宋_GB2312" w:cs="仿宋_GB2312"/>
          <w:snapToGrid w:val="0"/>
          <w:sz w:val="32"/>
          <w:szCs w:val="32"/>
          <w:lang w:val="zh-TW" w:eastAsia="zh-TW"/>
        </w:rPr>
        <w:t>建设项目有序推进。</w:t>
      </w:r>
      <w:r>
        <w:rPr>
          <w:rFonts w:hint="default" w:ascii="仿宋_GB2312" w:hAnsi="仿宋_GB2312" w:eastAsia="仿宋_GB2312" w:cs="仿宋_GB2312"/>
          <w:snapToGrid w:val="0"/>
          <w:sz w:val="32"/>
          <w:szCs w:val="32"/>
          <w:lang w:val="en-US" w:eastAsia="zh-CN"/>
        </w:rPr>
        <w:t>实施市重点项目1个，区重点建设项目9个，计划投资10.2亿元；7月份集中签约工业项目13个，计划总投资近30亿元；积极推进总投资约为403万元的2022年中型水库移民后期扶持项目峨嵋山社区沟渠整治、樊集村道路建设、和仁村道路建设。农业基础不断夯实。完成长山片3900亩高标准农田建设，启动7500亩和仁片区高标准农田建设项目。投资600万元建设现代农业园区综合服务中心，实施马头山片、茉莉花片区5000亩水稻绿色高质高效创建项目。实施品牌强农战略，新增绿色食品农产品认证4个，成功申报“金牛湖鳙鱼”农产品地理标志证明商标。安全生产常抓不懈。突出危险化学品、冶金工贸、道路交通、交通运输、消防、建筑施工等行业领域安全生产隐患自查自改，对全街约62000幢自建房开展安全排查。</w:t>
      </w:r>
      <w:r>
        <w:rPr>
          <w:rFonts w:hint="default" w:ascii="仿宋_GB2312" w:hAnsi="仿宋_GB2312" w:eastAsia="仿宋_GB2312" w:cs="仿宋_GB2312"/>
          <w:snapToGrid w:val="0"/>
          <w:sz w:val="32"/>
          <w:szCs w:val="32"/>
        </w:rPr>
        <w:t>定期对燃气、地下管网、建筑工程、园林绿化、房屋安全5个专项</w:t>
      </w:r>
      <w:r>
        <w:rPr>
          <w:rFonts w:hint="default" w:ascii="仿宋_GB2312" w:hAnsi="仿宋_GB2312" w:eastAsia="仿宋_GB2312" w:cs="仿宋_GB2312"/>
          <w:snapToGrid w:val="0"/>
          <w:sz w:val="32"/>
          <w:szCs w:val="32"/>
          <w:lang w:val="en-US" w:eastAsia="zh-CN"/>
        </w:rPr>
        <w:t>开展68次安全检查，及时整改安全隐患点137处。</w:t>
      </w:r>
      <w:r>
        <w:rPr>
          <w:rFonts w:hint="default" w:ascii="仿宋_GB2312" w:hAnsi="仿宋_GB2312" w:eastAsia="仿宋_GB2312" w:cs="仿宋_GB2312"/>
          <w:snapToGrid w:val="0"/>
          <w:sz w:val="32"/>
          <w:szCs w:val="32"/>
          <w:lang w:eastAsia="zh-CN"/>
        </w:rPr>
        <w:t>开展每月2次食品安全检查及“守底线、查隐患、保安全”食品安全专项行动等各项专项整治，累计检查餐饮场所208家次，</w:t>
      </w:r>
      <w:r>
        <w:rPr>
          <w:rFonts w:hint="default" w:ascii="仿宋_GB2312" w:hAnsi="仿宋_GB2312" w:eastAsia="仿宋_GB2312" w:cs="仿宋_GB2312"/>
          <w:snapToGrid w:val="0"/>
          <w:sz w:val="32"/>
          <w:szCs w:val="32"/>
          <w:lang w:val="en-US" w:eastAsia="zh-CN"/>
        </w:rPr>
        <w:t>整改</w:t>
      </w:r>
      <w:r>
        <w:rPr>
          <w:rFonts w:hint="default" w:ascii="仿宋_GB2312" w:hAnsi="仿宋_GB2312" w:eastAsia="仿宋_GB2312" w:cs="仿宋_GB2312"/>
          <w:snapToGrid w:val="0"/>
          <w:sz w:val="32"/>
          <w:szCs w:val="32"/>
          <w:lang w:eastAsia="zh-CN"/>
        </w:rPr>
        <w:t>隐患189</w:t>
      </w:r>
      <w:r>
        <w:rPr>
          <w:rFonts w:hint="default" w:ascii="仿宋_GB2312" w:hAnsi="仿宋_GB2312" w:eastAsia="仿宋_GB2312" w:cs="仿宋_GB2312"/>
          <w:snapToGrid w:val="0"/>
          <w:sz w:val="32"/>
          <w:szCs w:val="32"/>
          <w:lang w:val="en-US" w:eastAsia="zh-CN"/>
        </w:rPr>
        <w:t>处</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lang w:val="en-US" w:eastAsia="zh-CN"/>
        </w:rPr>
        <w:t>文旅产业提质增效。全力做好金牛湖全域旅游创建推进工作，</w:t>
      </w:r>
      <w:r>
        <w:rPr>
          <w:rFonts w:hint="default" w:ascii="仿宋_GB2312" w:hAnsi="仿宋_GB2312" w:eastAsia="仿宋_GB2312" w:cs="仿宋_GB2312"/>
          <w:snapToGrid w:val="0"/>
          <w:sz w:val="32"/>
          <w:szCs w:val="32"/>
        </w:rPr>
        <w:t>重点举办了“城门挂春联 江苏开门红”揭联仪式</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rPr>
        <w:t>金牛湖·梦想星空露营节—恋恋山水计划</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rPr>
        <w:t>2022“苏韵乡情”第十届葡萄文化节、茉莉花生活节</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rPr>
        <w:t>“茉莉风采”中秋诗歌会等</w:t>
      </w:r>
      <w:r>
        <w:rPr>
          <w:rFonts w:hint="default" w:ascii="仿宋_GB2312" w:hAnsi="仿宋_GB2312" w:eastAsia="仿宋_GB2312" w:cs="仿宋_GB2312"/>
          <w:snapToGrid w:val="0"/>
          <w:sz w:val="32"/>
          <w:szCs w:val="32"/>
          <w:lang w:val="en-US" w:eastAsia="zh-CN"/>
        </w:rPr>
        <w:t>节庆品牌</w:t>
      </w:r>
      <w:r>
        <w:rPr>
          <w:rFonts w:hint="default" w:ascii="仿宋_GB2312" w:hAnsi="仿宋_GB2312" w:eastAsia="仿宋_GB2312" w:cs="仿宋_GB2312"/>
          <w:snapToGrid w:val="0"/>
          <w:sz w:val="32"/>
          <w:szCs w:val="32"/>
        </w:rPr>
        <w:t>活动</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lang w:val="en-US" w:eastAsia="zh-CN"/>
        </w:rPr>
        <w:t>提升金牛湖知名度、美誉度</w:t>
      </w:r>
      <w:r>
        <w:rPr>
          <w:rFonts w:hint="default" w:ascii="仿宋_GB2312" w:hAnsi="仿宋_GB2312" w:eastAsia="仿宋_GB2312" w:cs="仿宋_GB2312"/>
          <w:snapToGrid w:val="0"/>
          <w:sz w:val="32"/>
          <w:szCs w:val="32"/>
        </w:rPr>
        <w:t>。</w:t>
      </w:r>
      <w:r>
        <w:rPr>
          <w:rFonts w:hint="default" w:ascii="仿宋_GB2312" w:hAnsi="仿宋_GB2312" w:eastAsia="仿宋_GB2312" w:cs="仿宋_GB2312"/>
          <w:snapToGrid w:val="0"/>
          <w:sz w:val="32"/>
          <w:szCs w:val="32"/>
          <w:lang w:val="en-US" w:eastAsia="zh-CN"/>
        </w:rPr>
        <w:t>域内实现</w:t>
      </w:r>
      <w:r>
        <w:rPr>
          <w:rFonts w:hint="default" w:ascii="仿宋_GB2312" w:hAnsi="仿宋_GB2312" w:eastAsia="仿宋_GB2312" w:cs="仿宋_GB2312"/>
          <w:snapToGrid w:val="0"/>
          <w:sz w:val="32"/>
          <w:szCs w:val="32"/>
          <w:lang w:eastAsia="zh-Hans"/>
        </w:rPr>
        <w:t>旅游</w:t>
      </w:r>
      <w:r>
        <w:rPr>
          <w:rFonts w:hint="default" w:ascii="仿宋_GB2312" w:hAnsi="仿宋_GB2312" w:eastAsia="仿宋_GB2312" w:cs="仿宋_GB2312"/>
          <w:snapToGrid w:val="0"/>
          <w:sz w:val="32"/>
          <w:szCs w:val="32"/>
          <w:lang w:val="en-US" w:eastAsia="zh-CN"/>
        </w:rPr>
        <w:t>379.1</w:t>
      </w:r>
      <w:r>
        <w:rPr>
          <w:rFonts w:hint="default" w:ascii="仿宋_GB2312" w:hAnsi="仿宋_GB2312" w:eastAsia="仿宋_GB2312" w:cs="仿宋_GB2312"/>
          <w:snapToGrid w:val="0"/>
          <w:sz w:val="32"/>
          <w:szCs w:val="32"/>
          <w:lang w:eastAsia="zh-Hans"/>
        </w:rPr>
        <w:t>万人次，收入</w:t>
      </w:r>
      <w:r>
        <w:rPr>
          <w:rFonts w:hint="default" w:ascii="仿宋_GB2312" w:hAnsi="仿宋_GB2312" w:eastAsia="仿宋_GB2312" w:cs="仿宋_GB2312"/>
          <w:snapToGrid w:val="0"/>
          <w:sz w:val="32"/>
          <w:szCs w:val="32"/>
          <w:lang w:val="en-US" w:eastAsia="zh-CN"/>
        </w:rPr>
        <w:t>39.6</w:t>
      </w:r>
      <w:r>
        <w:rPr>
          <w:rFonts w:hint="default" w:ascii="仿宋_GB2312" w:hAnsi="仿宋_GB2312" w:eastAsia="仿宋_GB2312" w:cs="仿宋_GB2312"/>
          <w:snapToGrid w:val="0"/>
          <w:sz w:val="32"/>
          <w:szCs w:val="32"/>
          <w:lang w:eastAsia="zh-Hans"/>
        </w:rPr>
        <w:t>亿元。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（4）</w:t>
      </w:r>
      <w:r>
        <w:rPr>
          <w:rFonts w:hint="default" w:ascii="仿宋_GB2312" w:hAnsi="仿宋_GB2312" w:eastAsia="仿宋_GB2312" w:cs="仿宋_GB2312"/>
          <w:snapToGrid w:val="0"/>
          <w:sz w:val="32"/>
          <w:szCs w:val="32"/>
          <w:lang w:val="zh-TW" w:eastAsia="zh-TW"/>
        </w:rPr>
        <w:t>城乡建设</w:t>
      </w:r>
      <w:r>
        <w:rPr>
          <w:rFonts w:hint="default" w:ascii="仿宋_GB2312" w:hAnsi="仿宋_GB2312" w:eastAsia="仿宋_GB2312" w:cs="仿宋_GB2312"/>
          <w:snapToGrid w:val="0"/>
          <w:sz w:val="32"/>
          <w:szCs w:val="32"/>
          <w:lang w:val="en-US" w:eastAsia="zh-CN"/>
        </w:rPr>
        <w:t>稳步优化</w:t>
      </w:r>
      <w:r>
        <w:rPr>
          <w:rFonts w:hint="default" w:ascii="仿宋_GB2312" w:hAnsi="仿宋_GB2312" w:eastAsia="仿宋_GB2312" w:cs="仿宋_GB2312"/>
          <w:snapToGrid w:val="0"/>
          <w:sz w:val="32"/>
          <w:szCs w:val="32"/>
          <w:lang w:eastAsia="zh-TW"/>
        </w:rPr>
        <w:t>。</w:t>
      </w:r>
      <w:r>
        <w:rPr>
          <w:rFonts w:hint="default" w:ascii="仿宋_GB2312" w:hAnsi="仿宋_GB2312" w:eastAsia="仿宋_GB2312" w:cs="仿宋_GB2312"/>
          <w:snapToGrid w:val="0"/>
          <w:sz w:val="32"/>
          <w:szCs w:val="32"/>
          <w:lang w:val="zh-TW" w:eastAsia="zh-TW"/>
        </w:rPr>
        <w:t>依托国家新型城镇化综合试点平台，统筹城乡规划，深化城乡一体化建设。</w:t>
      </w:r>
      <w:r>
        <w:rPr>
          <w:rFonts w:hint="default" w:ascii="仿宋_GB2312" w:hAnsi="仿宋_GB2312" w:eastAsia="仿宋_GB2312" w:cs="仿宋_GB2312"/>
          <w:snapToGrid w:val="0"/>
          <w:sz w:val="32"/>
          <w:szCs w:val="32"/>
          <w:lang w:val="en-US" w:eastAsia="zh-CN"/>
        </w:rPr>
        <w:t>人居环境持续改善。加快推进美丽乡村宜居村建设，2022年度我街共建设12个美丽乡村宜居村，涵盖七个村（社区），目前已全部完成规划及施工图设计工作。开展环境卫生大整治工作，对街道主次干道两边、河塘沟渠、村庄房前屋后等重点场所累计整治720处，清理垃圾约260吨。进一步明确责任落实，常态化开展文明典范城市创建工作，多形式宣传引导营造全民参与创建氛围，不断提升群众居住环境。加快推进</w:t>
      </w:r>
      <w:r>
        <w:rPr>
          <w:rFonts w:hint="default" w:ascii="仿宋_GB2312" w:hAnsi="仿宋_GB2312" w:eastAsia="仿宋_GB2312" w:cs="仿宋_GB2312"/>
          <w:snapToGrid w:val="0"/>
          <w:sz w:val="32"/>
          <w:szCs w:val="32"/>
        </w:rPr>
        <w:t>总投资约3000万元</w:t>
      </w:r>
      <w:r>
        <w:rPr>
          <w:rFonts w:hint="default" w:ascii="仿宋_GB2312" w:hAnsi="仿宋_GB2312" w:eastAsia="仿宋_GB2312" w:cs="仿宋_GB2312"/>
          <w:snapToGrid w:val="0"/>
          <w:sz w:val="32"/>
          <w:szCs w:val="32"/>
          <w:lang w:eastAsia="zh-CN"/>
        </w:rPr>
        <w:t>的</w:t>
      </w:r>
      <w:r>
        <w:rPr>
          <w:rFonts w:hint="default" w:ascii="仿宋_GB2312" w:hAnsi="仿宋_GB2312" w:eastAsia="仿宋_GB2312" w:cs="仿宋_GB2312"/>
          <w:snapToGrid w:val="0"/>
          <w:sz w:val="32"/>
          <w:szCs w:val="32"/>
        </w:rPr>
        <w:t>金牛湖社区山子林省级特色田园乡村</w:t>
      </w:r>
      <w:r>
        <w:rPr>
          <w:rFonts w:hint="default" w:ascii="仿宋_GB2312" w:hAnsi="仿宋_GB2312" w:eastAsia="仿宋_GB2312" w:cs="仿宋_GB2312"/>
          <w:snapToGrid w:val="0"/>
          <w:sz w:val="32"/>
          <w:szCs w:val="32"/>
          <w:lang w:val="en-US" w:eastAsia="zh-CN"/>
        </w:rPr>
        <w:t>建设，目前已完成基础设施改造和杆线下地投资1000万元。城乡治理成效显著。</w:t>
      </w:r>
      <w:r>
        <w:rPr>
          <w:rFonts w:hint="default" w:ascii="仿宋_GB2312" w:hAnsi="仿宋_GB2312" w:eastAsia="仿宋_GB2312" w:cs="仿宋_GB2312"/>
          <w:snapToGrid w:val="0"/>
          <w:sz w:val="32"/>
          <w:szCs w:val="32"/>
          <w:lang w:eastAsia="zh-CN"/>
        </w:rPr>
        <w:t>以开展“信访突出问题攻坚化解年”行动为抓手，健全信访矛盾多元预防调处化解机制，</w:t>
      </w:r>
      <w:r>
        <w:rPr>
          <w:rFonts w:hint="default" w:ascii="仿宋_GB2312" w:hAnsi="仿宋_GB2312" w:eastAsia="仿宋_GB2312" w:cs="仿宋_GB2312"/>
          <w:snapToGrid w:val="0"/>
          <w:sz w:val="32"/>
          <w:szCs w:val="32"/>
        </w:rPr>
        <w:t>共接访</w:t>
      </w:r>
      <w:r>
        <w:rPr>
          <w:rFonts w:hint="default" w:ascii="仿宋_GB2312" w:hAnsi="仿宋_GB2312" w:eastAsia="仿宋_GB2312" w:cs="仿宋_GB2312"/>
          <w:snapToGrid w:val="0"/>
          <w:sz w:val="32"/>
          <w:szCs w:val="32"/>
          <w:lang w:val="en-US" w:eastAsia="zh-CN"/>
        </w:rPr>
        <w:t>191</w:t>
      </w:r>
      <w:r>
        <w:rPr>
          <w:rFonts w:hint="default" w:ascii="仿宋_GB2312" w:hAnsi="仿宋_GB2312" w:eastAsia="仿宋_GB2312" w:cs="仿宋_GB2312"/>
          <w:snapToGrid w:val="0"/>
          <w:sz w:val="32"/>
          <w:szCs w:val="32"/>
        </w:rPr>
        <w:t>批次，</w:t>
      </w:r>
      <w:r>
        <w:rPr>
          <w:rFonts w:hint="default" w:ascii="仿宋_GB2312" w:hAnsi="仿宋_GB2312" w:eastAsia="仿宋_GB2312" w:cs="仿宋_GB2312"/>
          <w:snapToGrid w:val="0"/>
          <w:sz w:val="32"/>
          <w:szCs w:val="32"/>
          <w:lang w:val="en-US" w:eastAsia="zh-CN"/>
        </w:rPr>
        <w:t>其中</w:t>
      </w:r>
      <w:r>
        <w:rPr>
          <w:rFonts w:hint="default" w:ascii="仿宋_GB2312" w:hAnsi="仿宋_GB2312" w:eastAsia="仿宋_GB2312" w:cs="仿宋_GB2312"/>
          <w:snapToGrid w:val="0"/>
          <w:sz w:val="32"/>
          <w:szCs w:val="32"/>
        </w:rPr>
        <w:t>来访</w:t>
      </w:r>
      <w:r>
        <w:rPr>
          <w:rFonts w:hint="default" w:ascii="仿宋_GB2312" w:hAnsi="仿宋_GB2312" w:eastAsia="仿宋_GB2312" w:cs="仿宋_GB2312"/>
          <w:snapToGrid w:val="0"/>
          <w:sz w:val="32"/>
          <w:szCs w:val="32"/>
          <w:lang w:val="en-US" w:eastAsia="zh-CN"/>
        </w:rPr>
        <w:t>136件</w:t>
      </w:r>
      <w:r>
        <w:rPr>
          <w:rFonts w:hint="default" w:ascii="仿宋_GB2312" w:hAnsi="仿宋_GB2312" w:eastAsia="仿宋_GB2312" w:cs="仿宋_GB2312"/>
          <w:snapToGrid w:val="0"/>
          <w:sz w:val="32"/>
          <w:szCs w:val="32"/>
        </w:rPr>
        <w:t>，信访平台</w:t>
      </w:r>
      <w:r>
        <w:rPr>
          <w:rFonts w:hint="default" w:ascii="仿宋_GB2312" w:hAnsi="仿宋_GB2312" w:eastAsia="仿宋_GB2312" w:cs="仿宋_GB2312"/>
          <w:snapToGrid w:val="0"/>
          <w:sz w:val="32"/>
          <w:szCs w:val="32"/>
          <w:lang w:val="en-US" w:eastAsia="zh-CN"/>
        </w:rPr>
        <w:t>55</w:t>
      </w:r>
      <w:r>
        <w:rPr>
          <w:rFonts w:hint="default" w:ascii="仿宋_GB2312" w:hAnsi="仿宋_GB2312" w:eastAsia="仿宋_GB2312" w:cs="仿宋_GB2312"/>
          <w:snapToGrid w:val="0"/>
          <w:sz w:val="32"/>
          <w:szCs w:val="32"/>
        </w:rPr>
        <w:t>件，按照信访矛盾“四色”多元化解工作法，办结化解</w:t>
      </w:r>
      <w:r>
        <w:rPr>
          <w:rFonts w:hint="default" w:ascii="仿宋_GB2312" w:hAnsi="仿宋_GB2312" w:eastAsia="仿宋_GB2312" w:cs="仿宋_GB2312"/>
          <w:snapToGrid w:val="0"/>
          <w:sz w:val="32"/>
          <w:szCs w:val="32"/>
          <w:lang w:val="en-US" w:eastAsia="zh-CN"/>
        </w:rPr>
        <w:t>182</w:t>
      </w:r>
      <w:r>
        <w:rPr>
          <w:rFonts w:hint="default" w:ascii="仿宋_GB2312" w:hAnsi="仿宋_GB2312" w:eastAsia="仿宋_GB2312" w:cs="仿宋_GB2312"/>
          <w:snapToGrid w:val="0"/>
          <w:sz w:val="32"/>
          <w:szCs w:val="32"/>
        </w:rPr>
        <w:t>件，化解率达到</w:t>
      </w:r>
      <w:r>
        <w:rPr>
          <w:rFonts w:hint="default" w:ascii="仿宋_GB2312" w:hAnsi="仿宋_GB2312" w:eastAsia="仿宋_GB2312" w:cs="仿宋_GB2312"/>
          <w:snapToGrid w:val="0"/>
          <w:sz w:val="32"/>
          <w:szCs w:val="32"/>
          <w:lang w:val="en-US" w:eastAsia="zh-CN"/>
        </w:rPr>
        <w:t xml:space="preserve">95 </w:t>
      </w:r>
      <w:r>
        <w:rPr>
          <w:rFonts w:hint="default" w:ascii="仿宋_GB2312" w:hAnsi="仿宋_GB2312" w:eastAsia="仿宋_GB2312" w:cs="仿宋_GB2312"/>
          <w:snapToGrid w:val="0"/>
          <w:sz w:val="32"/>
          <w:szCs w:val="32"/>
        </w:rPr>
        <w:t>%</w:t>
      </w:r>
      <w:r>
        <w:rPr>
          <w:rFonts w:hint="default" w:ascii="仿宋_GB2312" w:hAnsi="仿宋_GB2312" w:eastAsia="仿宋_GB2312" w:cs="仿宋_GB2312"/>
          <w:snapToGrid w:val="0"/>
          <w:sz w:val="32"/>
          <w:szCs w:val="32"/>
          <w:lang w:eastAsia="zh-CN"/>
        </w:rPr>
        <w:t>。</w:t>
      </w:r>
      <w:r>
        <w:rPr>
          <w:rFonts w:hint="default" w:ascii="仿宋_GB2312" w:hAnsi="仿宋_GB2312" w:eastAsia="仿宋_GB2312" w:cs="仿宋_GB2312"/>
          <w:snapToGrid w:val="0"/>
          <w:sz w:val="32"/>
          <w:szCs w:val="32"/>
          <w:lang w:val="en-US" w:eastAsia="zh-CN"/>
        </w:rPr>
        <w:t>开展“服务企业面对面”活动，实施精准服务，解决共享电动车出行、园区定制公交车、中铁污水管网改造、园区道路提升等问题。城镇建设有序推进。积极推进“冶东新苑”、“秦窑新苑”、“长山新苑”安置房办证工作；配合做好北沿江线、宁淮线、宁盐线征地搬迁工作。</w:t>
      </w:r>
      <w:r>
        <w:rPr>
          <w:rFonts w:hint="default" w:ascii="仿宋_GB2312" w:hAnsi="仿宋_GB2312" w:eastAsia="仿宋_GB2312" w:cs="仿宋_GB2312"/>
          <w:snapToGrid w:val="0"/>
          <w:sz w:val="32"/>
          <w:szCs w:val="32"/>
        </w:rPr>
        <w:t>扎实开展</w:t>
      </w:r>
      <w:r>
        <w:rPr>
          <w:rFonts w:hint="default" w:ascii="仿宋_GB2312" w:hAnsi="仿宋_GB2312" w:eastAsia="仿宋_GB2312" w:cs="仿宋_GB2312"/>
          <w:snapToGrid w:val="0"/>
          <w:sz w:val="32"/>
          <w:szCs w:val="32"/>
          <w:lang w:eastAsia="zh-CN"/>
        </w:rPr>
        <w:t>农路公路养护，</w:t>
      </w:r>
      <w:r>
        <w:rPr>
          <w:rFonts w:hint="default" w:ascii="仿宋_GB2312" w:hAnsi="仿宋_GB2312" w:eastAsia="仿宋_GB2312" w:cs="仿宋_GB2312"/>
          <w:snapToGrid w:val="0"/>
          <w:sz w:val="32"/>
          <w:szCs w:val="32"/>
        </w:rPr>
        <w:t>投资约</w:t>
      </w:r>
      <w:r>
        <w:rPr>
          <w:rFonts w:hint="default" w:ascii="仿宋_GB2312" w:hAnsi="仿宋_GB2312" w:eastAsia="仿宋_GB2312" w:cs="仿宋_GB2312"/>
          <w:snapToGrid w:val="0"/>
          <w:sz w:val="32"/>
          <w:szCs w:val="32"/>
          <w:lang w:val="en-US" w:eastAsia="zh-CN"/>
        </w:rPr>
        <w:t>700</w:t>
      </w:r>
      <w:r>
        <w:rPr>
          <w:rFonts w:hint="default" w:ascii="仿宋_GB2312" w:hAnsi="仿宋_GB2312" w:eastAsia="仿宋_GB2312" w:cs="仿宋_GB2312"/>
          <w:snapToGrid w:val="0"/>
          <w:sz w:val="32"/>
          <w:szCs w:val="32"/>
        </w:rPr>
        <w:t>万</w:t>
      </w:r>
      <w:r>
        <w:rPr>
          <w:rFonts w:hint="default" w:ascii="仿宋_GB2312" w:hAnsi="仿宋_GB2312" w:eastAsia="仿宋_GB2312" w:cs="仿宋_GB2312"/>
          <w:snapToGrid w:val="0"/>
          <w:sz w:val="32"/>
          <w:szCs w:val="32"/>
          <w:lang w:val="en-US" w:eastAsia="zh-CN"/>
        </w:rPr>
        <w:t>对</w:t>
      </w:r>
      <w:r>
        <w:rPr>
          <w:rFonts w:hint="default" w:ascii="仿宋_GB2312" w:hAnsi="仿宋_GB2312" w:eastAsia="仿宋_GB2312" w:cs="仿宋_GB2312"/>
          <w:snapToGrid w:val="0"/>
          <w:sz w:val="32"/>
          <w:szCs w:val="32"/>
        </w:rPr>
        <w:t>五条</w:t>
      </w:r>
      <w:r>
        <w:rPr>
          <w:rFonts w:hint="default" w:ascii="仿宋_GB2312" w:hAnsi="仿宋_GB2312" w:eastAsia="仿宋_GB2312" w:cs="仿宋_GB2312"/>
          <w:snapToGrid w:val="0"/>
          <w:sz w:val="32"/>
          <w:szCs w:val="32"/>
          <w:lang w:val="en-US" w:eastAsia="zh-CN"/>
        </w:rPr>
        <w:t>道</w:t>
      </w:r>
      <w:r>
        <w:rPr>
          <w:rFonts w:hint="default" w:ascii="仿宋_GB2312" w:hAnsi="仿宋_GB2312" w:eastAsia="仿宋_GB2312" w:cs="仿宋_GB2312"/>
          <w:snapToGrid w:val="0"/>
          <w:sz w:val="32"/>
          <w:szCs w:val="32"/>
        </w:rPr>
        <w:t>路</w:t>
      </w:r>
      <w:r>
        <w:rPr>
          <w:rFonts w:hint="default" w:ascii="仿宋_GB2312" w:hAnsi="仿宋_GB2312" w:eastAsia="仿宋_GB2312" w:cs="仿宋_GB2312"/>
          <w:snapToGrid w:val="0"/>
          <w:sz w:val="32"/>
          <w:szCs w:val="32"/>
          <w:lang w:eastAsia="zh-CN"/>
        </w:rPr>
        <w:t>新建沥青路面</w:t>
      </w:r>
      <w:r>
        <w:rPr>
          <w:rFonts w:hint="default" w:ascii="仿宋_GB2312" w:hAnsi="仿宋_GB2312" w:eastAsia="仿宋_GB2312" w:cs="仿宋_GB2312"/>
          <w:snapToGrid w:val="0"/>
          <w:sz w:val="32"/>
          <w:szCs w:val="32"/>
          <w:lang w:val="en-US" w:eastAsia="zh-CN"/>
        </w:rPr>
        <w:t>。全面推进街道河长制和水环境提升工作，实施孔洼水库2022年度库容恢复及生态清淤整治工程，顺利完成今年防汛抗旱工作。</w:t>
      </w:r>
      <w:r>
        <w:rPr>
          <w:rFonts w:hint="default" w:ascii="仿宋_GB2312" w:hAnsi="仿宋_GB2312" w:eastAsia="仿宋_GB2312" w:cs="仿宋_GB2312"/>
          <w:snapToGrid w:val="0"/>
          <w:sz w:val="32"/>
          <w:szCs w:val="32"/>
          <w:lang w:val="zh-TW" w:eastAsia="zh-CN"/>
        </w:rPr>
        <w:t>完成长山片区、八百桥片区和樊集片区99个规划布点村污水治理建设</w:t>
      </w:r>
      <w:r>
        <w:rPr>
          <w:rFonts w:hint="default" w:ascii="仿宋_GB2312" w:hAnsi="仿宋_GB2312" w:eastAsia="仿宋_GB2312" w:cs="仿宋_GB2312"/>
          <w:snapToGrid w:val="0"/>
          <w:sz w:val="32"/>
          <w:szCs w:val="32"/>
          <w:lang w:val="en-US" w:eastAsia="zh-CN"/>
        </w:rPr>
        <w:t>和</w:t>
      </w:r>
      <w:r>
        <w:rPr>
          <w:rFonts w:hint="default" w:ascii="仿宋_GB2312" w:hAnsi="仿宋_GB2312" w:eastAsia="仿宋_GB2312" w:cs="仿宋_GB2312"/>
          <w:snapToGrid w:val="0"/>
          <w:sz w:val="32"/>
          <w:szCs w:val="32"/>
          <w:lang w:val="zh-TW" w:eastAsia="zh-CN"/>
        </w:rPr>
        <w:t>存量村农村污水管网和设施整治，配合区公用集团完成金牛湖街道污水处理厂和金牛湖度假中心污水处理厂的设备一级A提标工程。</w:t>
      </w:r>
      <w:r>
        <w:rPr>
          <w:rFonts w:hint="default" w:ascii="仿宋_GB2312" w:hAnsi="仿宋_GB2312" w:eastAsia="仿宋_GB2312" w:cs="仿宋_GB2312"/>
          <w:snapToGrid w:val="0"/>
          <w:sz w:val="32"/>
          <w:szCs w:val="32"/>
          <w:lang w:val="en-US" w:eastAsia="zh-CN"/>
        </w:rPr>
        <w:t>城市治理能力不断加强。截至目前共清理乱张贴数量984余处，其中清理主次干道355处，背街小巷336处，清理居民小区乱张贴293处；规范设置、新增公共信息栏10个，新增共享停车点2处，共计14个共享停车车位。加大控违查处力度，拆除违法建设248处3935㎡。认真做好垃圾分类工作，积极谋划市、区两级垃圾分类宣传新闻发布会，垃圾分类工作考核全区综合排名第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（5）</w:t>
      </w:r>
      <w:r>
        <w:rPr>
          <w:rFonts w:hint="default" w:ascii="仿宋_GB2312" w:hAnsi="仿宋_GB2312" w:eastAsia="仿宋_GB2312" w:cs="仿宋_GB2312"/>
          <w:snapToGrid w:val="0"/>
          <w:sz w:val="32"/>
          <w:szCs w:val="32"/>
          <w:lang w:val="en-US" w:eastAsia="zh-CN"/>
        </w:rPr>
        <w:t>党的建设稳步深化。推进全面从严治党，始终把党的政治建设摆在首位，坚持思想建党、组织建党、制度治党紧密结合。严格执行党工委议事决策规则。制定《关于进一步加强“三重一大”事项决策和监管的实施办法》，并组织全体党工委委员认真学习领会。全年共召开13次党工委会议，切实做到重大决策、重要人事任免、重要项目安排和大额资金使用等事项上党工委会议集体研究，议题清晰、结论明确，记录完整。组织建设充分加强。加强党员联系群众工作，扩大走访覆盖面，走访18153户66349人，推动协调解决大小民生实事300多件。推动实施“一社区一案例”，金牛湖社区打造多功能“爱心驿站”；峨嵋山社区建设“1+1”现代乡村运营平台等。全面开展民兵整组、兵役登记、兵员征集和应急保障等工作，广泛发动应征青年报名105人，成功入伍12名，其中大学毕业生10名。思想建设深入开展。组织全体机关党员干部观看党的二十大开幕式，认真学习和领会党的二十大精神。深化“线上+线下”学习模式，推送线上“文明实践课堂”“冬训微课堂”等专题学习。依托新时代文明实践所、站建设，全年共围绕理论学习、教育服务、文化服务、体育与健康促进、科技科普、文明创建6大内容开展新时代文明实践活动，培训960余次。严格意识形态主体责任。</w:t>
      </w:r>
      <w:r>
        <w:rPr>
          <w:rFonts w:hint="default" w:ascii="仿宋_GB2312" w:hAnsi="仿宋_GB2312" w:eastAsia="仿宋_GB2312" w:cs="仿宋_GB2312"/>
          <w:snapToGrid w:val="0"/>
          <w:sz w:val="32"/>
          <w:szCs w:val="32"/>
        </w:rPr>
        <w:t>党工委主要负责人带头管阵地、把导向、强队伍，全年召开党工委专题会</w:t>
      </w:r>
      <w:r>
        <w:rPr>
          <w:rFonts w:hint="default" w:ascii="仿宋_GB2312" w:hAnsi="仿宋_GB2312" w:eastAsia="仿宋_GB2312" w:cs="仿宋_GB2312"/>
          <w:snapToGrid w:val="0"/>
          <w:sz w:val="32"/>
          <w:szCs w:val="32"/>
          <w:lang w:val="en-US" w:eastAsia="zh-CN"/>
        </w:rPr>
        <w:t>2次</w:t>
      </w:r>
      <w:r>
        <w:rPr>
          <w:rFonts w:hint="default" w:ascii="仿宋_GB2312" w:hAnsi="仿宋_GB2312" w:eastAsia="仿宋_GB2312" w:cs="仿宋_GB2312"/>
          <w:snapToGrid w:val="0"/>
          <w:sz w:val="32"/>
          <w:szCs w:val="32"/>
        </w:rPr>
        <w:t>、分析研判联席会4次。制定《金牛湖街道舆情事件应急处置预案》，强化网上舆情监测管理，及时处置网络负面舆情。</w:t>
      </w:r>
      <w:r>
        <w:rPr>
          <w:rFonts w:hint="default" w:ascii="仿宋_GB2312" w:hAnsi="仿宋_GB2312" w:eastAsia="仿宋_GB2312" w:cs="仿宋_GB2312"/>
          <w:snapToGrid w:val="0"/>
          <w:sz w:val="32"/>
          <w:szCs w:val="32"/>
          <w:lang w:val="en-US" w:eastAsia="zh-CN"/>
        </w:rPr>
        <w:t>对辖区内宗教活动场所定期开展检查，准确掌握教会活动时间及内容，依托“茉莉花村红石榴家园”阵地，不断巩固和扩大统一战线的社会基础。加大党风廉政宣教力度。持续抓好巡察整改，做实巡察“后半篇文章”，树牢“四个意识”，做到“两个维护”。今年以来向党员干部推送廉政信息1200余人次，通过“大美乐活金牛湖”微信公众号向全街党员干部发布廉政提醒2次，在街道微信工作群发布廉政提醒17次，转发区纪委各类通报3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lang w:val="en-US" w:eastAsia="zh-CN"/>
        </w:rPr>
        <w:t>6</w:t>
      </w:r>
      <w:r>
        <w:rPr>
          <w:rFonts w:hint="eastAsia" w:ascii="仿宋_GB2312" w:hAnsi="仿宋_GB2312" w:eastAsia="仿宋_GB2312" w:cs="仿宋_GB2312"/>
          <w:snapToGrid w:val="0"/>
          <w:sz w:val="32"/>
          <w:szCs w:val="32"/>
        </w:rPr>
        <w:t>）完成区委、区政府交办的其他</w:t>
      </w:r>
      <w:r>
        <w:rPr>
          <w:rFonts w:hint="eastAsia" w:ascii="仿宋_GB2312" w:hAnsi="仿宋_GB2312" w:eastAsia="仿宋_GB2312" w:cs="仿宋_GB2312"/>
          <w:snapToGrid w:val="0"/>
          <w:sz w:val="32"/>
          <w:szCs w:val="32"/>
          <w:lang w:eastAsia="zh-CN"/>
        </w:rPr>
        <w:t>工作。</w:t>
      </w:r>
    </w:p>
    <w:p>
      <w:pPr>
        <w:spacing w:before="208" w:line="326" w:lineRule="auto"/>
        <w:ind w:left="50" w:right="112" w:firstLine="639"/>
        <w:outlineLvl w:val="2"/>
        <w:rPr>
          <w:rFonts w:ascii="仿宋" w:hAnsi="仿宋" w:eastAsia="仿宋" w:cs="仿宋"/>
          <w:spacing w:val="-2"/>
          <w:sz w:val="32"/>
          <w:szCs w:val="32"/>
        </w:rPr>
      </w:pPr>
      <w:bookmarkStart w:id="3" w:name="_Toc12410"/>
      <w:r>
        <w:rPr>
          <w:rFonts w:hint="eastAsia" w:ascii="仿宋" w:hAnsi="仿宋" w:eastAsia="仿宋" w:cs="仿宋"/>
          <w:spacing w:val="-2"/>
          <w:sz w:val="32"/>
          <w:szCs w:val="32"/>
          <w:lang w:val="en-US" w:eastAsia="zh-CN"/>
        </w:rPr>
        <w:t>2</w:t>
      </w:r>
      <w:r>
        <w:rPr>
          <w:rFonts w:ascii="仿宋" w:hAnsi="仿宋" w:eastAsia="仿宋" w:cs="仿宋"/>
          <w:spacing w:val="-2"/>
          <w:sz w:val="32"/>
          <w:szCs w:val="32"/>
        </w:rPr>
        <w:t>.部门机构设置</w:t>
      </w:r>
      <w:bookmarkEnd w:id="3"/>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rPr>
        <w:t>党政综合部（党建工作办公室）、</w:t>
      </w:r>
      <w:r>
        <w:rPr>
          <w:rFonts w:hint="eastAsia" w:ascii="仿宋_GB2312" w:hAnsi="仿宋_GB2312" w:eastAsia="仿宋_GB2312" w:cs="仿宋_GB2312"/>
          <w:snapToGrid w:val="0"/>
          <w:sz w:val="32"/>
          <w:szCs w:val="32"/>
          <w:lang w:eastAsia="zh-CN"/>
        </w:rPr>
        <w:t>党政综合部、</w:t>
      </w:r>
      <w:r>
        <w:rPr>
          <w:rFonts w:hint="eastAsia" w:ascii="仿宋_GB2312" w:hAnsi="仿宋_GB2312" w:eastAsia="仿宋_GB2312" w:cs="仿宋_GB2312"/>
          <w:snapToGrid w:val="0"/>
          <w:sz w:val="32"/>
          <w:szCs w:val="32"/>
        </w:rPr>
        <w:t>社会事业部、城乡建设部、经济发展部、财政资产部、农业农村部、综合行政执法局（综合行政检查执法大队）、社会治理综合指挥中心（网格化服务管理中心）、便民服务中心</w:t>
      </w:r>
      <w:r>
        <w:rPr>
          <w:rFonts w:hint="eastAsia" w:ascii="仿宋_GB2312" w:hAnsi="仿宋_GB2312" w:eastAsia="仿宋_GB2312" w:cs="仿宋_GB2312"/>
          <w:snapToGrid w:val="0"/>
          <w:sz w:val="32"/>
          <w:szCs w:val="32"/>
          <w:lang w:eastAsia="zh-CN"/>
        </w:rPr>
        <w:t>。</w:t>
      </w:r>
    </w:p>
    <w:p>
      <w:pPr>
        <w:spacing w:before="235" w:line="296" w:lineRule="auto"/>
        <w:ind w:left="35" w:right="11" w:firstLine="639"/>
        <w:outlineLvl w:val="2"/>
        <w:rPr>
          <w:rFonts w:hint="eastAsia" w:ascii="仿宋" w:hAnsi="仿宋" w:eastAsia="仿宋" w:cs="仿宋"/>
          <w:spacing w:val="-2"/>
          <w:sz w:val="32"/>
          <w:szCs w:val="32"/>
          <w:lang w:val="en-US" w:eastAsia="zh-CN"/>
        </w:rPr>
      </w:pPr>
      <w:bookmarkStart w:id="4" w:name="_Toc31797"/>
      <w:r>
        <w:rPr>
          <w:rFonts w:hint="eastAsia" w:ascii="仿宋" w:hAnsi="仿宋" w:eastAsia="仿宋" w:cs="仿宋"/>
          <w:spacing w:val="-2"/>
          <w:sz w:val="32"/>
          <w:szCs w:val="32"/>
          <w:lang w:val="en-US" w:eastAsia="zh-CN"/>
        </w:rPr>
        <w:t>3.部门人员情况</w:t>
      </w:r>
      <w:bookmarkEnd w:id="4"/>
    </w:p>
    <w:p>
      <w:pPr>
        <w:spacing w:before="233" w:line="256" w:lineRule="auto"/>
        <w:ind w:left="36" w:right="62" w:firstLine="638"/>
        <w:rPr>
          <w:rFonts w:hint="default" w:ascii="仿宋" w:hAnsi="仿宋" w:eastAsia="仿宋" w:cs="仿宋"/>
          <w:color w:val="auto"/>
          <w:sz w:val="32"/>
          <w:szCs w:val="32"/>
          <w:lang w:val="en-US" w:eastAsia="zh-CN"/>
        </w:rPr>
      </w:pPr>
      <w:r>
        <w:rPr>
          <w:rFonts w:hint="eastAsia" w:ascii="仿宋_GB2312" w:hAnsi="仿宋_GB2312" w:eastAsia="仿宋_GB2312" w:cs="仿宋_GB2312"/>
          <w:snapToGrid w:val="0"/>
          <w:color w:val="auto"/>
          <w:sz w:val="32"/>
          <w:szCs w:val="32"/>
        </w:rPr>
        <w:t>街道人员配备： 公务员</w:t>
      </w:r>
      <w:r>
        <w:rPr>
          <w:rFonts w:hint="eastAsia" w:ascii="仿宋_GB2312" w:hAnsi="仿宋_GB2312" w:eastAsia="仿宋_GB2312" w:cs="仿宋_GB2312"/>
          <w:snapToGrid w:val="0"/>
          <w:color w:val="auto"/>
          <w:sz w:val="32"/>
          <w:szCs w:val="32"/>
          <w:lang w:val="en-US" w:eastAsia="zh-CN"/>
        </w:rPr>
        <w:t>41</w:t>
      </w:r>
      <w:r>
        <w:rPr>
          <w:rFonts w:hint="eastAsia" w:ascii="仿宋_GB2312" w:hAnsi="仿宋_GB2312" w:eastAsia="仿宋_GB2312" w:cs="仿宋_GB2312"/>
          <w:snapToGrid w:val="0"/>
          <w:color w:val="auto"/>
          <w:sz w:val="32"/>
          <w:szCs w:val="32"/>
        </w:rPr>
        <w:t xml:space="preserve"> 人、事业编 </w:t>
      </w:r>
      <w:r>
        <w:rPr>
          <w:rFonts w:hint="eastAsia" w:ascii="仿宋_GB2312" w:hAnsi="仿宋_GB2312" w:eastAsia="仿宋_GB2312" w:cs="仿宋_GB2312"/>
          <w:snapToGrid w:val="0"/>
          <w:color w:val="auto"/>
          <w:sz w:val="32"/>
          <w:szCs w:val="32"/>
          <w:lang w:val="en-US" w:eastAsia="zh-CN"/>
        </w:rPr>
        <w:t>62</w:t>
      </w:r>
      <w:r>
        <w:rPr>
          <w:rFonts w:hint="eastAsia" w:ascii="仿宋_GB2312" w:hAnsi="仿宋_GB2312" w:eastAsia="仿宋_GB2312" w:cs="仿宋_GB2312"/>
          <w:snapToGrid w:val="0"/>
          <w:color w:val="auto"/>
          <w:sz w:val="32"/>
          <w:szCs w:val="32"/>
        </w:rPr>
        <w:t>人</w:t>
      </w:r>
      <w:r>
        <w:rPr>
          <w:rFonts w:hint="eastAsia" w:ascii="仿宋_GB2312" w:hAnsi="仿宋_GB2312" w:eastAsia="仿宋_GB2312" w:cs="仿宋_GB2312"/>
          <w:snapToGrid w:val="0"/>
          <w:color w:val="auto"/>
          <w:sz w:val="32"/>
          <w:szCs w:val="32"/>
          <w:lang w:val="en-US" w:eastAsia="zh-CN"/>
        </w:rPr>
        <w:t>,</w:t>
      </w:r>
      <w:r>
        <w:rPr>
          <w:rFonts w:hint="eastAsia" w:ascii="仿宋_GB2312" w:hAnsi="仿宋_GB2312" w:eastAsia="仿宋_GB2312" w:cs="仿宋_GB2312"/>
          <w:snapToGrid w:val="0"/>
          <w:color w:val="auto"/>
          <w:sz w:val="32"/>
          <w:szCs w:val="32"/>
        </w:rPr>
        <w:t>自用</w:t>
      </w:r>
      <w:r>
        <w:rPr>
          <w:rFonts w:hint="eastAsia" w:ascii="仿宋_GB2312" w:hAnsi="仿宋_GB2312" w:eastAsia="仿宋_GB2312" w:cs="仿宋_GB2312"/>
          <w:snapToGrid w:val="0"/>
          <w:color w:val="auto"/>
          <w:sz w:val="32"/>
          <w:szCs w:val="32"/>
          <w:lang w:val="en-US" w:eastAsia="zh-CN"/>
        </w:rPr>
        <w:t>66人</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其他</w:t>
      </w:r>
      <w:r>
        <w:rPr>
          <w:rFonts w:hint="eastAsia" w:ascii="仿宋_GB2312" w:hAnsi="仿宋_GB2312" w:eastAsia="仿宋_GB2312" w:cs="仿宋_GB2312"/>
          <w:snapToGrid w:val="0"/>
          <w:color w:val="auto"/>
          <w:sz w:val="32"/>
          <w:szCs w:val="32"/>
          <w:lang w:val="en-US" w:eastAsia="zh-CN"/>
        </w:rPr>
        <w:t>165人，</w:t>
      </w:r>
      <w:r>
        <w:rPr>
          <w:rFonts w:hint="eastAsia" w:ascii="仿宋_GB2312" w:hAnsi="仿宋_GB2312" w:eastAsia="仿宋_GB2312" w:cs="仿宋_GB2312"/>
          <w:snapToGrid w:val="0"/>
          <w:color w:val="auto"/>
          <w:sz w:val="32"/>
          <w:szCs w:val="32"/>
        </w:rPr>
        <w:t>合计</w:t>
      </w:r>
      <w:r>
        <w:rPr>
          <w:rFonts w:hint="eastAsia" w:ascii="仿宋_GB2312" w:hAnsi="仿宋_GB2312" w:eastAsia="仿宋_GB2312" w:cs="仿宋_GB2312"/>
          <w:snapToGrid w:val="0"/>
          <w:color w:val="auto"/>
          <w:sz w:val="32"/>
          <w:szCs w:val="32"/>
          <w:lang w:val="en-US" w:eastAsia="zh-CN"/>
        </w:rPr>
        <w:t>334人</w:t>
      </w:r>
      <w:r>
        <w:rPr>
          <w:rFonts w:hint="eastAsia" w:ascii="仿宋_GB2312" w:hAnsi="仿宋_GB2312" w:eastAsia="仿宋_GB2312" w:cs="仿宋_GB2312"/>
          <w:snapToGrid w:val="0"/>
          <w:color w:val="auto"/>
          <w:sz w:val="32"/>
          <w:szCs w:val="32"/>
        </w:rPr>
        <w:t>。</w:t>
      </w:r>
    </w:p>
    <w:p>
      <w:pPr>
        <w:spacing w:before="208" w:line="326" w:lineRule="auto"/>
        <w:ind w:left="50" w:right="112" w:firstLine="639"/>
        <w:outlineLvl w:val="2"/>
        <w:rPr>
          <w:rFonts w:hint="eastAsia" w:ascii="仿宋" w:hAnsi="仿宋" w:eastAsia="仿宋" w:cs="仿宋"/>
          <w:color w:val="auto"/>
          <w:spacing w:val="-2"/>
          <w:sz w:val="32"/>
          <w:szCs w:val="32"/>
          <w:lang w:val="en-US" w:eastAsia="zh-CN"/>
        </w:rPr>
      </w:pPr>
      <w:bookmarkStart w:id="5" w:name="_Toc1693"/>
      <w:r>
        <w:rPr>
          <w:rFonts w:hint="eastAsia" w:ascii="仿宋" w:hAnsi="仿宋" w:eastAsia="仿宋" w:cs="仿宋"/>
          <w:color w:val="auto"/>
          <w:spacing w:val="-2"/>
          <w:sz w:val="32"/>
          <w:szCs w:val="32"/>
          <w:lang w:val="en-US" w:eastAsia="zh-CN"/>
        </w:rPr>
        <w:t>4.部门资产情况</w:t>
      </w:r>
      <w:bookmarkEnd w:id="5"/>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截至2022年底， 资产合计33531.58万元， 其中流动资产31757.87万元； 非流动资产1773.71万元，其中固定资产原值5477.72万元，固定资产净值1332.74万元。</w:t>
      </w:r>
    </w:p>
    <w:p>
      <w:pPr>
        <w:spacing w:before="233" w:line="188" w:lineRule="auto"/>
        <w:outlineLvl w:val="1"/>
        <w:rPr>
          <w:rFonts w:ascii="仿宋" w:hAnsi="仿宋" w:eastAsia="仿宋" w:cs="仿宋"/>
          <w:color w:val="000000" w:themeColor="text1"/>
          <w:sz w:val="32"/>
          <w:szCs w:val="32"/>
          <w14:textFill>
            <w14:solidFill>
              <w14:schemeClr w14:val="tx1"/>
            </w14:solidFill>
          </w14:textFill>
        </w:rPr>
      </w:pPr>
      <w:bookmarkStart w:id="6" w:name="_Toc29769"/>
      <w:r>
        <w:rPr>
          <w:rFonts w:ascii="仿宋" w:hAnsi="仿宋" w:eastAsia="仿宋" w:cs="仿宋"/>
          <w:color w:val="000000" w:themeColor="text1"/>
          <w:spacing w:val="-16"/>
          <w:sz w:val="32"/>
          <w:szCs w:val="32"/>
          <w14:textOutline w14:w="5791" w14:cap="flat" w14:cmpd="sng">
            <w14:solidFill>
              <w14:srgbClr w14:val="000000"/>
            </w14:solidFill>
            <w14:prstDash w14:val="solid"/>
            <w14:miter w14:val="0"/>
          </w14:textOutline>
          <w14:textFill>
            <w14:solidFill>
              <w14:schemeClr w14:val="tx1"/>
            </w14:solidFill>
          </w14:textFill>
        </w:rPr>
        <w:t>（二）</w:t>
      </w:r>
      <w:r>
        <w:rPr>
          <w:rFonts w:ascii="仿宋" w:hAnsi="仿宋" w:eastAsia="仿宋" w:cs="仿宋"/>
          <w:color w:val="000000" w:themeColor="text1"/>
          <w:spacing w:val="8"/>
          <w:sz w:val="32"/>
          <w:szCs w:val="32"/>
          <w14:textFill>
            <w14:solidFill>
              <w14:schemeClr w14:val="tx1"/>
            </w14:solidFill>
          </w14:textFill>
        </w:rPr>
        <w:t xml:space="preserve"> </w:t>
      </w:r>
      <w:r>
        <w:rPr>
          <w:rFonts w:ascii="仿宋" w:hAnsi="仿宋" w:eastAsia="仿宋" w:cs="仿宋"/>
          <w:color w:val="000000" w:themeColor="text1"/>
          <w:spacing w:val="-16"/>
          <w:sz w:val="32"/>
          <w:szCs w:val="32"/>
          <w14:textOutline w14:w="5791" w14:cap="flat" w14:cmpd="sng">
            <w14:solidFill>
              <w14:srgbClr w14:val="000000"/>
            </w14:solidFill>
            <w14:prstDash w14:val="solid"/>
            <w14:miter w14:val="0"/>
          </w14:textOutline>
          <w14:textFill>
            <w14:solidFill>
              <w14:schemeClr w14:val="tx1"/>
            </w14:solidFill>
          </w14:textFill>
        </w:rPr>
        <w:t>部门预算收支情况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bookmarkStart w:id="7" w:name="_Toc17291"/>
      <w:r>
        <w:rPr>
          <w:rFonts w:hint="eastAsia" w:ascii="仿宋_GB2312" w:eastAsia="仿宋_GB2312"/>
          <w:color w:val="000000" w:themeColor="text1"/>
          <w:sz w:val="32"/>
          <w:szCs w:val="32"/>
          <w:lang w:val="en-US" w:eastAsia="zh-CN"/>
          <w14:textFill>
            <w14:solidFill>
              <w14:schemeClr w14:val="tx1"/>
            </w14:solidFill>
          </w14:textFill>
        </w:rPr>
        <w:t>1.收入支出预算安排情况</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2022</w:t>
      </w:r>
      <w:r>
        <w:rPr>
          <w:rFonts w:hint="eastAsia" w:ascii="仿宋_GB2312" w:eastAsia="仿宋_GB2312"/>
          <w:color w:val="000000" w:themeColor="text1"/>
          <w:sz w:val="32"/>
          <w:szCs w:val="32"/>
          <w:lang w:val="en-US" w:eastAsia="zh-CN"/>
          <w14:textFill>
            <w14:solidFill>
              <w14:schemeClr w14:val="tx1"/>
            </w14:solidFill>
          </w14:textFill>
        </w:rPr>
        <w:t>年一般公共预算收入年初预算为26600万元，</w:t>
      </w:r>
      <w:r>
        <w:rPr>
          <w:rFonts w:hint="eastAsia" w:ascii="仿宋_GB2312" w:eastAsia="仿宋_GB2312"/>
          <w:color w:val="000000" w:themeColor="text1"/>
          <w:sz w:val="32"/>
          <w:szCs w:val="32"/>
          <w14:textFill>
            <w14:solidFill>
              <w14:schemeClr w14:val="tx1"/>
            </w14:solidFill>
          </w14:textFill>
        </w:rPr>
        <w:t>财力</w:t>
      </w:r>
      <w:r>
        <w:rPr>
          <w:rFonts w:hint="eastAsia" w:ascii="仿宋_GB2312" w:eastAsia="仿宋_GB2312"/>
          <w:color w:val="000000" w:themeColor="text1"/>
          <w:sz w:val="32"/>
          <w:szCs w:val="32"/>
          <w:lang w:val="en-US" w:eastAsia="zh-CN"/>
          <w14:textFill>
            <w14:solidFill>
              <w14:schemeClr w14:val="tx1"/>
            </w14:solidFill>
          </w14:textFill>
        </w:rPr>
        <w:t>11686万</w:t>
      </w:r>
      <w:r>
        <w:rPr>
          <w:rFonts w:hint="eastAsia" w:ascii="仿宋_GB2312" w:eastAsia="仿宋_GB2312"/>
          <w:color w:val="000000" w:themeColor="text1"/>
          <w:sz w:val="32"/>
          <w:szCs w:val="32"/>
          <w14:textFill>
            <w14:solidFill>
              <w14:schemeClr w14:val="tx1"/>
            </w14:solidFill>
          </w14:textFill>
        </w:rPr>
        <w:t>元，调入预算稳定调节基金</w:t>
      </w:r>
      <w:r>
        <w:rPr>
          <w:rFonts w:hint="eastAsia" w:ascii="仿宋_GB2312" w:eastAsia="仿宋_GB2312"/>
          <w:color w:val="000000" w:themeColor="text1"/>
          <w:sz w:val="32"/>
          <w:szCs w:val="32"/>
          <w:lang w:val="en-US" w:eastAsia="zh-CN"/>
          <w14:textFill>
            <w14:solidFill>
              <w14:schemeClr w14:val="tx1"/>
            </w14:solidFill>
          </w14:textFill>
        </w:rPr>
        <w:t>412万元，</w:t>
      </w:r>
      <w:r>
        <w:rPr>
          <w:rFonts w:hint="eastAsia" w:ascii="仿宋_GB2312" w:eastAsia="仿宋_GB2312"/>
          <w:color w:val="000000" w:themeColor="text1"/>
          <w:sz w:val="32"/>
          <w:szCs w:val="32"/>
          <w:lang w:eastAsia="zh-CN"/>
          <w14:textFill>
            <w14:solidFill>
              <w14:schemeClr w14:val="tx1"/>
            </w14:solidFill>
          </w14:textFill>
        </w:rPr>
        <w:t>一般公共预算支出安排</w:t>
      </w:r>
      <w:r>
        <w:rPr>
          <w:rFonts w:hint="eastAsia" w:ascii="仿宋_GB2312" w:eastAsia="仿宋_GB2312"/>
          <w:color w:val="000000" w:themeColor="text1"/>
          <w:sz w:val="32"/>
          <w:szCs w:val="32"/>
          <w:lang w:val="en-US" w:eastAsia="zh-CN"/>
          <w14:textFill>
            <w14:solidFill>
              <w14:schemeClr w14:val="tx1"/>
            </w14:solidFill>
          </w14:textFill>
        </w:rPr>
        <w:t>1.2098亿元。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2"/>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
      <w:bookmarkStart w:id="8" w:name="_Toc4129"/>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2.收入支出预算执行情况</w:t>
      </w:r>
      <w:bookmarkEnd w:id="8"/>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2022年作为主导税源的房地产业不景气，实体业受疫情影响营收下降，留抵退税政策及财政结算体制变化，收入下滑较大，收支预算作了大的调整，具体执行情况如下：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2022年</w:t>
      </w:r>
      <w:r>
        <w:rPr>
          <w:rFonts w:hint="eastAsia" w:ascii="仿宋_GB2312" w:eastAsia="仿宋_GB2312"/>
          <w:color w:val="000000" w:themeColor="text1"/>
          <w:sz w:val="32"/>
          <w:szCs w:val="32"/>
          <w:lang w:eastAsia="zh-CN"/>
          <w14:textFill>
            <w14:solidFill>
              <w14:schemeClr w14:val="tx1"/>
            </w14:solidFill>
          </w14:textFill>
        </w:rPr>
        <w:t>全年一般</w:t>
      </w:r>
      <w:r>
        <w:rPr>
          <w:rFonts w:hint="eastAsia" w:ascii="仿宋_GB2312" w:eastAsia="仿宋_GB2312"/>
          <w:color w:val="000000" w:themeColor="text1"/>
          <w:sz w:val="32"/>
          <w:szCs w:val="32"/>
          <w14:textFill>
            <w14:solidFill>
              <w14:schemeClr w14:val="tx1"/>
            </w14:solidFill>
          </w14:textFill>
        </w:rPr>
        <w:t>公共预算</w:t>
      </w:r>
      <w:r>
        <w:rPr>
          <w:rFonts w:hint="eastAsia" w:ascii="仿宋_GB2312" w:eastAsia="仿宋_GB2312"/>
          <w:color w:val="000000" w:themeColor="text1"/>
          <w:sz w:val="32"/>
          <w:szCs w:val="32"/>
          <w:lang w:eastAsia="zh-CN"/>
          <w14:textFill>
            <w14:solidFill>
              <w14:schemeClr w14:val="tx1"/>
            </w14:solidFill>
          </w14:textFill>
        </w:rPr>
        <w:t>收入完成</w:t>
      </w:r>
      <w:r>
        <w:rPr>
          <w:rFonts w:hint="eastAsia" w:ascii="仿宋_GB2312" w:eastAsia="仿宋_GB2312"/>
          <w:color w:val="000000" w:themeColor="text1"/>
          <w:sz w:val="32"/>
          <w:szCs w:val="32"/>
          <w:lang w:val="en-US" w:eastAsia="zh-CN"/>
          <w14:textFill>
            <w14:solidFill>
              <w14:schemeClr w14:val="tx1"/>
            </w14:solidFill>
          </w14:textFill>
        </w:rPr>
        <w:t>8584.13万元，其中：税收</w:t>
      </w:r>
      <w:r>
        <w:rPr>
          <w:rFonts w:hint="eastAsia" w:ascii="仿宋_GB2312" w:eastAsia="仿宋_GB2312"/>
          <w:color w:val="000000" w:themeColor="text1"/>
          <w:sz w:val="32"/>
          <w:szCs w:val="32"/>
          <w14:textFill>
            <w14:solidFill>
              <w14:schemeClr w14:val="tx1"/>
            </w14:solidFill>
          </w14:textFill>
        </w:rPr>
        <w:t>财力</w:t>
      </w:r>
      <w:r>
        <w:rPr>
          <w:rFonts w:hint="eastAsia" w:ascii="仿宋_GB2312" w:eastAsia="仿宋_GB2312"/>
          <w:color w:val="000000" w:themeColor="text1"/>
          <w:sz w:val="32"/>
          <w:szCs w:val="32"/>
          <w:lang w:eastAsia="zh-CN"/>
          <w14:textFill>
            <w14:solidFill>
              <w14:schemeClr w14:val="tx1"/>
            </w14:solidFill>
          </w14:textFill>
        </w:rPr>
        <w:t>为</w:t>
      </w:r>
      <w:r>
        <w:rPr>
          <w:rFonts w:hint="eastAsia" w:ascii="仿宋_GB2312" w:eastAsia="仿宋_GB2312"/>
          <w:color w:val="000000" w:themeColor="text1"/>
          <w:sz w:val="32"/>
          <w:szCs w:val="32"/>
          <w:lang w:val="en-US" w:eastAsia="zh-CN"/>
          <w14:textFill>
            <w14:solidFill>
              <w14:schemeClr w14:val="tx1"/>
            </w14:solidFill>
          </w14:textFill>
        </w:rPr>
        <w:t>3673.58万</w:t>
      </w:r>
      <w:r>
        <w:rPr>
          <w:rFonts w:hint="eastAsia" w:ascii="仿宋_GB2312" w:eastAsia="仿宋_GB2312"/>
          <w:color w:val="000000" w:themeColor="text1"/>
          <w:sz w:val="32"/>
          <w:szCs w:val="32"/>
          <w14:textFill>
            <w14:solidFill>
              <w14:schemeClr w14:val="tx1"/>
            </w14:solidFill>
          </w14:textFill>
        </w:rPr>
        <w:t>元，上级追加指标安排6</w:t>
      </w:r>
      <w:r>
        <w:rPr>
          <w:rFonts w:hint="eastAsia" w:ascii="仿宋_GB2312" w:eastAsia="仿宋_GB2312"/>
          <w:color w:val="000000" w:themeColor="text1"/>
          <w:sz w:val="32"/>
          <w:szCs w:val="32"/>
          <w:lang w:val="en-US" w:eastAsia="zh-CN"/>
          <w14:textFill>
            <w14:solidFill>
              <w14:schemeClr w14:val="tx1"/>
            </w14:solidFill>
          </w14:textFill>
        </w:rPr>
        <w:t>98</w:t>
      </w:r>
      <w:r>
        <w:rPr>
          <w:rFonts w:hint="eastAsia" w:ascii="仿宋_GB2312" w:eastAsia="仿宋_GB2312"/>
          <w:color w:val="000000" w:themeColor="text1"/>
          <w:sz w:val="32"/>
          <w:szCs w:val="32"/>
          <w14:textFill>
            <w14:solidFill>
              <w14:schemeClr w14:val="tx1"/>
            </w14:solidFill>
          </w14:textFill>
        </w:rPr>
        <w:t>.3万元，调入预算稳定调节基金</w:t>
      </w:r>
      <w:r>
        <w:rPr>
          <w:rFonts w:hint="eastAsia" w:ascii="仿宋_GB2312" w:eastAsia="仿宋_GB2312"/>
          <w:color w:val="000000" w:themeColor="text1"/>
          <w:sz w:val="32"/>
          <w:szCs w:val="32"/>
          <w:lang w:val="en-US" w:eastAsia="zh-CN"/>
          <w14:textFill>
            <w14:solidFill>
              <w14:schemeClr w14:val="tx1"/>
            </w14:solidFill>
          </w14:textFill>
        </w:rPr>
        <w:t>1615万元，可用财力为5986.88万元，全年</w:t>
      </w:r>
      <w:r>
        <w:rPr>
          <w:rFonts w:hint="eastAsia" w:ascii="仿宋_GB2312" w:eastAsia="仿宋_GB2312"/>
          <w:color w:val="000000" w:themeColor="text1"/>
          <w:sz w:val="32"/>
          <w:szCs w:val="32"/>
          <w:lang w:eastAsia="zh-CN"/>
          <w14:textFill>
            <w14:solidFill>
              <w14:schemeClr w14:val="tx1"/>
            </w14:solidFill>
          </w14:textFill>
        </w:rPr>
        <w:t>一般公共预算支出安排</w:t>
      </w:r>
      <w:r>
        <w:rPr>
          <w:rFonts w:hint="eastAsia" w:ascii="仿宋_GB2312" w:eastAsia="仿宋_GB2312"/>
          <w:color w:val="000000" w:themeColor="text1"/>
          <w:sz w:val="32"/>
          <w:szCs w:val="32"/>
          <w:lang w:val="en-US" w:eastAsia="zh-CN"/>
          <w14:textFill>
            <w14:solidFill>
              <w14:schemeClr w14:val="tx1"/>
            </w14:solidFill>
          </w14:textFill>
        </w:rPr>
        <w:t>5508.75万元，收支结余478.13万元。</w:t>
      </w:r>
    </w:p>
    <w:p>
      <w:pPr>
        <w:spacing w:before="233" w:line="188" w:lineRule="auto"/>
        <w:outlineLvl w:val="1"/>
        <w:rPr>
          <w:rFonts w:hint="eastAsia" w:ascii="仿宋" w:hAnsi="仿宋" w:eastAsia="仿宋" w:cs="仿宋"/>
          <w:color w:val="000000" w:themeColor="text1"/>
          <w:spacing w:val="-16"/>
          <w:sz w:val="32"/>
          <w:szCs w:val="32"/>
          <w:lang w:val="en-US" w:eastAsia="zh-CN"/>
          <w14:textOutline w14:w="5791" w14:cap="flat" w14:cmpd="sng">
            <w14:solidFill>
              <w14:srgbClr w14:val="000000"/>
            </w14:solidFill>
            <w14:prstDash w14:val="solid"/>
            <w14:miter w14:val="0"/>
          </w14:textOutline>
          <w14:textFill>
            <w14:solidFill>
              <w14:schemeClr w14:val="tx1"/>
            </w14:solidFill>
          </w14:textFill>
        </w:rPr>
      </w:pPr>
      <w:bookmarkStart w:id="9" w:name="_Toc12735"/>
      <w:r>
        <w:rPr>
          <w:rFonts w:hint="eastAsia" w:ascii="仿宋" w:hAnsi="仿宋" w:eastAsia="仿宋" w:cs="仿宋"/>
          <w:color w:val="000000" w:themeColor="text1"/>
          <w:spacing w:val="-16"/>
          <w:sz w:val="32"/>
          <w:szCs w:val="32"/>
          <w:lang w:val="en-US" w:eastAsia="zh-CN"/>
          <w14:textOutline w14:w="5791" w14:cap="flat" w14:cmpd="sng">
            <w14:solidFill>
              <w14:srgbClr w14:val="000000"/>
            </w14:solidFill>
            <w14:prstDash w14:val="solid"/>
            <w14:miter w14:val="0"/>
          </w14:textOutline>
          <w14:textFill>
            <w14:solidFill>
              <w14:schemeClr w14:val="tx1"/>
            </w14:solidFill>
          </w14:textFill>
        </w:rPr>
        <w:t>（三） 部门绩效目标</w:t>
      </w:r>
      <w:bookmarkEnd w:id="9"/>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2"/>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
      <w:bookmarkStart w:id="10" w:name="_Toc21365"/>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1.部门中长期发展目标</w:t>
      </w:r>
      <w:bookmarkEnd w:id="10"/>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一是围绕区委区政府确立的“五年两跨越”奋斗目标，金牛湖结合自身实际，统筹谋划“十四五”规划编制。二是围绕推动经济社会发展，提高人民幸福指数，防范化解各类隐患风险，研究推出切合实际的“十四五”规划编制。三是围绕增强发展内生动力，激发企业活力，营造优质营商环境，服务好企业，做好招商、安商、稳商。四是围绕补短板、促发展、增后劲、惠民生等，科学研究，积极协调推出重大工程和项目落地。</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outlineLvl w:val="2"/>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
      <w:bookmarkStart w:id="11" w:name="_Toc17550"/>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部门年度目标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发挥“园区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”作用，用园区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农机合作社，提升</w:t>
      </w:r>
      <w:r>
        <w:rPr>
          <w:rFonts w:hint="eastAsia" w:ascii="仿宋_GB2312" w:eastAsia="仿宋_GB2312"/>
          <w:color w:val="000000" w:themeColor="text1"/>
          <w:sz w:val="32"/>
          <w:szCs w:val="32"/>
          <w:lang w:eastAsia="zh-CN"/>
          <w14:textFill>
            <w14:solidFill>
              <w14:schemeClr w14:val="tx1"/>
            </w14:solidFill>
          </w14:textFill>
        </w:rPr>
        <w:t>金牛湖</w:t>
      </w:r>
      <w:r>
        <w:rPr>
          <w:rFonts w:hint="eastAsia" w:ascii="仿宋_GB2312" w:eastAsia="仿宋_GB2312"/>
          <w:color w:val="000000" w:themeColor="text1"/>
          <w:sz w:val="32"/>
          <w:szCs w:val="32"/>
          <w14:textFill>
            <w14:solidFill>
              <w14:schemeClr w14:val="tx1"/>
            </w14:solidFill>
          </w14:textFill>
        </w:rPr>
        <w:t>农业生产水平，用园区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农业企业，构筑农业品销售平台，引领</w:t>
      </w:r>
      <w:r>
        <w:rPr>
          <w:rFonts w:hint="eastAsia" w:ascii="仿宋_GB2312" w:eastAsia="仿宋_GB2312"/>
          <w:color w:val="000000" w:themeColor="text1"/>
          <w:sz w:val="32"/>
          <w:szCs w:val="32"/>
          <w:lang w:eastAsia="zh-CN"/>
          <w14:textFill>
            <w14:solidFill>
              <w14:schemeClr w14:val="tx1"/>
            </w14:solidFill>
          </w14:textFill>
        </w:rPr>
        <w:t>金牛湖</w:t>
      </w:r>
      <w:r>
        <w:rPr>
          <w:rFonts w:hint="eastAsia" w:ascii="仿宋_GB2312" w:eastAsia="仿宋_GB2312"/>
          <w:color w:val="000000" w:themeColor="text1"/>
          <w:sz w:val="32"/>
          <w:szCs w:val="32"/>
          <w14:textFill>
            <w14:solidFill>
              <w14:schemeClr w14:val="tx1"/>
            </w14:solidFill>
          </w14:textFill>
        </w:rPr>
        <w:t>农业产出上台阶；用园区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学术，提升</w:t>
      </w:r>
      <w:r>
        <w:rPr>
          <w:rFonts w:hint="eastAsia" w:ascii="仿宋_GB2312" w:eastAsia="仿宋_GB2312"/>
          <w:color w:val="000000" w:themeColor="text1"/>
          <w:sz w:val="32"/>
          <w:szCs w:val="32"/>
          <w:lang w:eastAsia="zh-CN"/>
          <w14:textFill>
            <w14:solidFill>
              <w14:schemeClr w14:val="tx1"/>
            </w14:solidFill>
          </w14:textFill>
        </w:rPr>
        <w:t>金牛湖</w:t>
      </w:r>
      <w:r>
        <w:rPr>
          <w:rFonts w:hint="eastAsia" w:ascii="仿宋_GB2312" w:eastAsia="仿宋_GB2312"/>
          <w:color w:val="000000" w:themeColor="text1"/>
          <w:sz w:val="32"/>
          <w:szCs w:val="32"/>
          <w14:textFill>
            <w14:solidFill>
              <w14:schemeClr w14:val="tx1"/>
            </w14:solidFill>
          </w14:textFill>
        </w:rPr>
        <w:t>农业技术含量，用园区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土地模式，启动园区平台实体运作，整合园区闲置土地，淘汰落后园区经营不善企业，整合</w:t>
      </w:r>
      <w:r>
        <w:rPr>
          <w:rFonts w:hint="eastAsia" w:ascii="仿宋_GB2312" w:eastAsia="仿宋_GB2312"/>
          <w:color w:val="000000" w:themeColor="text1"/>
          <w:sz w:val="32"/>
          <w:szCs w:val="32"/>
          <w:lang w:eastAsia="zh-CN"/>
          <w14:textFill>
            <w14:solidFill>
              <w14:schemeClr w14:val="tx1"/>
            </w14:solidFill>
          </w14:textFill>
        </w:rPr>
        <w:t>金牛湖</w:t>
      </w:r>
      <w:r>
        <w:rPr>
          <w:rFonts w:hint="eastAsia" w:ascii="仿宋_GB2312" w:eastAsia="仿宋_GB2312"/>
          <w:color w:val="000000" w:themeColor="text1"/>
          <w:sz w:val="32"/>
          <w:szCs w:val="32"/>
          <w14:textFill>
            <w14:solidFill>
              <w14:schemeClr w14:val="tx1"/>
            </w14:solidFill>
          </w14:textFill>
        </w:rPr>
        <w:t>农业良性发展。</w:t>
      </w:r>
      <w:r>
        <w:rPr>
          <w:rFonts w:hint="eastAsia" w:ascii="仿宋" w:hAnsi="仿宋" w:eastAsia="仿宋" w:cs="仿宋"/>
          <w:color w:val="000000" w:themeColor="text1"/>
          <w:sz w:val="32"/>
          <w:szCs w:val="32"/>
          <w:lang w:val="en-US" w:eastAsia="zh-CN"/>
          <w14:textFill>
            <w14:solidFill>
              <w14:schemeClr w14:val="tx1"/>
            </w14:solidFill>
          </w14:textFill>
        </w:rPr>
        <w:t>做好规上企业培育，加快推动速宏电子技改投资实施，加快文旅二期棚改项目完成；积极协调上级规划部门，加快推动金牛工业集中区创业园100亩工业用平台公司运作，采取“筑巢引凤，以商招商”的新模式，主动吸纳社会上有影响力和经济实力的社团组织，给予政策扶持，促成街道经济社会发展振兴。</w:t>
      </w:r>
    </w:p>
    <w:p>
      <w:pPr>
        <w:spacing w:before="183" w:line="187" w:lineRule="auto"/>
        <w:ind w:firstLine="689"/>
        <w:outlineLvl w:val="0"/>
        <w:rPr>
          <w:rFonts w:hint="eastAsia" w:ascii="黑体" w:hAnsi="黑体" w:eastAsia="黑体" w:cs="黑体"/>
          <w:color w:val="000000" w:themeColor="text1"/>
          <w:spacing w:val="-2"/>
          <w:sz w:val="32"/>
          <w:szCs w:val="32"/>
          <w:lang w:val="en-US" w:eastAsia="zh-CN"/>
          <w14:textOutline w14:w="5791" w14:cap="flat" w14:cmpd="sng">
            <w14:solidFill>
              <w14:srgbClr w14:val="000000"/>
            </w14:solidFill>
            <w14:prstDash w14:val="solid"/>
            <w14:miter w14:val="0"/>
          </w14:textOutline>
          <w14:textFill>
            <w14:solidFill>
              <w14:schemeClr w14:val="tx1"/>
            </w14:solidFill>
          </w14:textFill>
        </w:rPr>
      </w:pPr>
      <w:bookmarkStart w:id="12" w:name="_Toc28866"/>
      <w:r>
        <w:rPr>
          <w:rFonts w:hint="eastAsia" w:ascii="黑体" w:hAnsi="黑体" w:eastAsia="黑体" w:cs="黑体"/>
          <w:color w:val="000000" w:themeColor="text1"/>
          <w:spacing w:val="-2"/>
          <w:sz w:val="32"/>
          <w:szCs w:val="32"/>
          <w:lang w:val="en-US" w:eastAsia="zh-CN"/>
          <w14:textOutline w14:w="5791" w14:cap="flat" w14:cmpd="sng">
            <w14:solidFill>
              <w14:srgbClr w14:val="000000"/>
            </w14:solidFill>
            <w14:prstDash w14:val="solid"/>
            <w14:miter w14:val="0"/>
          </w14:textOutline>
          <w14:textFill>
            <w14:solidFill>
              <w14:schemeClr w14:val="tx1"/>
            </w14:solidFill>
          </w14:textFill>
        </w:rPr>
        <w:t>二、部门整体绩效分析</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bookmarkStart w:id="13" w:name="_Toc956"/>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绩效评价目的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严格落实《预算法》及省、市绩效管理工作的有关规定，进一步规范财政资金的管理，强化财政支出绩效理念，提升部门责任意识，提高资金使用效益，促进街道工作的发展。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绩效评价实施过程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根据《2022年度六合区区级预算部门绩效管理工作要求》，街道制定了部门整体支出绩效评价的工作方案、评价指标，成立了以街道办事处主任为组长的绩效评价工作小组，202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日召开了现场评价工作安排部署会，于2月</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日完成自评工作。绩效评价工作主要如下：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（1）核实数据。对202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年度部门整体支出数据的准确性、真实性进行核实，将202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年度和202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年度部门整体支出情况进行比较分析。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（2）查阅资料。查阅202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年度预算安排、预算追加、资金管理、经费支出、资产管理等相关文件资料和财务凭证。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rPr>
        <w:t>（3）发放调查问卷。对履行职责情况的公众满意度</w:t>
      </w:r>
      <w:r>
        <w:rPr>
          <w:rFonts w:hint="eastAsia" w:ascii="仿宋_GB2312" w:eastAsia="仿宋_GB2312"/>
          <w:color w:val="000000" w:themeColor="text1"/>
          <w:sz w:val="32"/>
          <w:szCs w:val="32"/>
          <w14:textFill>
            <w14:solidFill>
              <w14:schemeClr w14:val="tx1"/>
            </w14:solidFill>
          </w14:textFill>
        </w:rPr>
        <w:t>向社会群众、服务对象、部门干警进行调查。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（4）归纳汇总。对收集的评价材料结合本单位情况进行综合分析、归纳汇总。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）根据评价材料结合各项评价指标进行分析评分。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）形成绩效评价自评报告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部门整体支出绩效评价得分</w:t>
      </w:r>
      <w:r>
        <w:rPr>
          <w:rFonts w:hint="eastAsia" w:ascii="仿宋_GB2312" w:eastAsia="仿宋_GB2312"/>
          <w:color w:val="000000" w:themeColor="text1"/>
          <w:sz w:val="32"/>
          <w:szCs w:val="32"/>
          <w:lang w:val="en-US" w:eastAsia="zh-CN"/>
          <w14:textFill>
            <w14:solidFill>
              <w14:schemeClr w14:val="tx1"/>
            </w14:solidFill>
          </w14:textFill>
        </w:rPr>
        <w:t>96</w:t>
      </w:r>
      <w:r>
        <w:rPr>
          <w:rFonts w:hint="eastAsia" w:ascii="仿宋_GB2312" w:eastAsia="仿宋_GB2312"/>
          <w:color w:val="000000" w:themeColor="text1"/>
          <w:sz w:val="32"/>
          <w:szCs w:val="32"/>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部门履职成效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投入绩效情况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（1）职责明确：部门的职责设定符合“三定”方案中所赋予的职责和年度承担的重点工作。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（2）活动合规性：部门活动在职责范围之内，并且符合部门中长期规划；部门活动符合市委、市政府的发展规划及本部门的年度工作安排与发展规划。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（3）活动合理性：部门所设立的活动明确合理，活动的关键性指标设置可衡量。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过程绩效情况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（1）管理制度健全性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部门已制定预算资金管理办法、内部财务管理制度、会计核算制度等管理制度；相关管理制度合法、合规、完整；相关管理制度得到有效执行。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（2）资金使用合规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使用预算资金符合国家财经法规和财务管理制度的规定以及有关部门资金管理办法的规定；资金的拨付有完整的审批过程和手续；项目的重大开支均经过评估论证；符合部门预算批复的用途；不存在截留情况；不存在挤占情况；不存在挪用情况；不存在虚列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（3）预决算信息公开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年度预决算已公开；已按照政府信息公开有关规定公开预决算信息；已按规定时限公开预决算信息。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（4）基础信息完善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部门基本财务管理制度健全；基础数据信息和会计信息资料真实、完整、准确。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）管理制度健全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部门已制定资产管理制度；相关资金管理制度合法、合规、完整；资产管理制度得到有效执行。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）资产管理完全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资产保存完整；资产账务管理合规，账实相符；资产有偿使用及处置收入及时足额上报。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）固定资产利用率100%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预算绩效监控管理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监控率100%</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产出绩效情况分析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1、职责履行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（1）项目实际完成率100%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（2）项目质量达标率100%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（3）重点工作办结率100%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（4）部门绩效自评占比率100%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）效果绩效情况分析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1、监督发现问题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部门不存在违规问题资金，违规率为0</w:t>
      </w:r>
      <w:r>
        <w:rPr>
          <w:rFonts w:hint="eastAsia" w:ascii="仿宋_GB2312" w:eastAsia="仿宋_GB2312"/>
          <w:color w:val="000000" w:themeColor="text1"/>
          <w:sz w:val="32"/>
          <w:szCs w:val="32"/>
          <w:lang w:eastAsia="zh-CN"/>
          <w14:textFill>
            <w14:solidFill>
              <w14:schemeClr w14:val="tx1"/>
            </w14:solidFill>
          </w14:textFill>
        </w:rPr>
        <w:t>。</w:t>
      </w:r>
      <w:bookmarkStart w:id="22" w:name="_GoBack"/>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、评价结果应用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应用率=100%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、结果应用创新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部门按要求对社会公开绩效评价结果；部门将预算绩效管理工作开展情况向同级政府、人大等部门报告。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460" w:lineRule="exact"/>
        <w:ind w:firstLine="628" w:firstLineChars="200"/>
        <w:textAlignment w:val="baseline"/>
        <w:outlineLvl w:val="0"/>
        <w:rPr>
          <w:rFonts w:hint="default" w:ascii="黑体" w:hAnsi="黑体" w:eastAsia="黑体" w:cs="黑体"/>
          <w:color w:val="auto"/>
          <w:spacing w:val="-3"/>
          <w:sz w:val="32"/>
          <w:szCs w:val="32"/>
          <w:lang w:val="en-US" w:eastAsia="zh-CN"/>
          <w14:textOutline w14:w="5791" w14:cap="flat" w14:cmpd="sng">
            <w14:solidFill>
              <w14:srgbClr w14:val="000000"/>
            </w14:solidFill>
            <w14:prstDash w14:val="solid"/>
            <w14:miter w14:val="0"/>
          </w14:textOutline>
        </w:rPr>
      </w:pPr>
      <w:r>
        <w:rPr>
          <w:rFonts w:hint="eastAsia" w:ascii="黑体" w:hAnsi="黑体" w:eastAsia="黑体" w:cs="黑体"/>
          <w:color w:val="auto"/>
          <w:spacing w:val="-3"/>
          <w:sz w:val="32"/>
          <w:szCs w:val="32"/>
          <w:lang w:val="en-US" w:eastAsia="zh-CN"/>
          <w14:textOutline w14:w="5791" w14:cap="flat" w14:cmpd="sng">
            <w14:solidFill>
              <w14:srgbClr w14:val="000000"/>
            </w14:solidFill>
            <w14:prstDash w14:val="solid"/>
            <w14:miter w14:val="0"/>
          </w14:textOutline>
        </w:rPr>
        <w:t>三、部门履职成效</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lang w:val="en-US" w:eastAsia="zh-CN"/>
        </w:rPr>
      </w:pPr>
      <w:bookmarkStart w:id="14" w:name="_Toc18819"/>
      <w:r>
        <w:rPr>
          <w:rFonts w:hint="eastAsia" w:ascii="仿宋_GB2312" w:eastAsia="仿宋_GB2312"/>
          <w:color w:val="auto"/>
          <w:sz w:val="32"/>
          <w:szCs w:val="32"/>
          <w:lang w:val="en-US" w:eastAsia="zh-CN"/>
        </w:rPr>
        <w:t>（一）提供公共服务水平</w:t>
      </w:r>
      <w:bookmarkEnd w:id="14"/>
    </w:p>
    <w:p>
      <w:pPr>
        <w:spacing w:before="101" w:line="372" w:lineRule="auto"/>
        <w:ind w:left="6" w:firstLine="651"/>
        <w:jc w:val="both"/>
        <w:rPr>
          <w:rFonts w:hint="eastAsia" w:ascii="仿宋" w:hAnsi="仿宋" w:eastAsia="仿宋" w:cs="仿宋"/>
          <w:color w:val="auto"/>
          <w:spacing w:val="0"/>
          <w:sz w:val="31"/>
          <w:szCs w:val="31"/>
          <w:lang w:val="en-US" w:eastAsia="zh-CN"/>
        </w:rPr>
      </w:pPr>
      <w:r>
        <w:rPr>
          <w:rFonts w:hint="eastAsia" w:ascii="仿宋" w:hAnsi="仿宋" w:eastAsia="仿宋" w:cs="仿宋"/>
          <w:color w:val="auto"/>
          <w:spacing w:val="0"/>
          <w:sz w:val="31"/>
          <w:szCs w:val="31"/>
        </w:rPr>
        <w:t>实施</w:t>
      </w:r>
      <w:r>
        <w:rPr>
          <w:rFonts w:hint="eastAsia" w:ascii="仿宋" w:hAnsi="仿宋" w:eastAsia="仿宋" w:cs="仿宋"/>
          <w:color w:val="auto"/>
          <w:spacing w:val="0"/>
          <w:sz w:val="31"/>
          <w:szCs w:val="31"/>
          <w:lang w:eastAsia="zh-CN"/>
        </w:rPr>
        <w:t>金牛湖街</w:t>
      </w:r>
      <w:r>
        <w:rPr>
          <w:rFonts w:hint="eastAsia" w:ascii="仿宋" w:hAnsi="仿宋" w:eastAsia="仿宋" w:cs="仿宋"/>
          <w:color w:val="auto"/>
          <w:spacing w:val="0"/>
          <w:sz w:val="31"/>
          <w:szCs w:val="31"/>
        </w:rPr>
        <w:t>道</w:t>
      </w:r>
      <w:r>
        <w:rPr>
          <w:rFonts w:hint="eastAsia" w:ascii="仿宋" w:hAnsi="仿宋" w:eastAsia="仿宋" w:cs="仿宋"/>
          <w:color w:val="auto"/>
          <w:spacing w:val="0"/>
          <w:sz w:val="31"/>
          <w:szCs w:val="31"/>
          <w:lang w:val="en-US" w:eastAsia="zh-CN"/>
        </w:rPr>
        <w:t>背街小巷整治及乱张贴治理示范街巷工程项目：清洁建筑立面，沿街立面及玻璃橱窗内外无张贴、涂写、刻画、悬挂等现象，对背街小巷两侧的落地空调外机、沿街外露空调外机实施景观遮挡改造。规范店招店牌，对背街小巷破损、低档店招店牌实施改造出新，拆除多余店招。完善市政设施，修复与更换背街小巷人行道砖、拱翘、盲道砖，路牙、台阶等多种设施，清理树池黄土并铺设格栅。加强清扫保洁，加大背街小巷的清扫保洁力度，及时清理树池、垃圾分类收集容器等处的暴露垃圾，清除“牛皮癣”，消除背街小巷脏乱差现象和卫生死角。</w:t>
      </w:r>
      <w:r>
        <w:rPr>
          <w:rFonts w:hint="eastAsia" w:ascii="仿宋" w:hAnsi="仿宋" w:eastAsia="仿宋" w:cs="仿宋"/>
          <w:color w:val="auto"/>
          <w:spacing w:val="0"/>
          <w:sz w:val="31"/>
          <w:szCs w:val="31"/>
        </w:rPr>
        <w:t>实施</w:t>
      </w:r>
      <w:r>
        <w:rPr>
          <w:rFonts w:hint="eastAsia" w:ascii="仿宋" w:hAnsi="仿宋" w:eastAsia="仿宋" w:cs="仿宋"/>
          <w:color w:val="auto"/>
          <w:spacing w:val="0"/>
          <w:sz w:val="31"/>
          <w:szCs w:val="31"/>
          <w:lang w:eastAsia="zh-CN"/>
        </w:rPr>
        <w:t>金牛湖街</w:t>
      </w:r>
      <w:r>
        <w:rPr>
          <w:rFonts w:hint="eastAsia" w:ascii="仿宋" w:hAnsi="仿宋" w:eastAsia="仿宋" w:cs="仿宋"/>
          <w:color w:val="auto"/>
          <w:spacing w:val="0"/>
          <w:sz w:val="31"/>
          <w:szCs w:val="31"/>
        </w:rPr>
        <w:t>道</w:t>
      </w:r>
      <w:r>
        <w:rPr>
          <w:rFonts w:hint="eastAsia" w:ascii="仿宋" w:hAnsi="仿宋" w:eastAsia="仿宋" w:cs="仿宋"/>
          <w:color w:val="auto"/>
          <w:spacing w:val="0"/>
          <w:sz w:val="31"/>
          <w:szCs w:val="31"/>
          <w:lang w:val="en-US" w:eastAsia="zh-CN"/>
        </w:rPr>
        <w:t>道路</w:t>
      </w:r>
      <w:r>
        <w:rPr>
          <w:rFonts w:hint="eastAsia" w:ascii="仿宋" w:hAnsi="仿宋" w:eastAsia="仿宋" w:cs="仿宋"/>
          <w:color w:val="auto"/>
          <w:spacing w:val="0"/>
          <w:sz w:val="31"/>
          <w:szCs w:val="31"/>
        </w:rPr>
        <w:t>保洁</w:t>
      </w:r>
      <w:r>
        <w:rPr>
          <w:rFonts w:hint="eastAsia" w:ascii="仿宋" w:hAnsi="仿宋" w:eastAsia="仿宋" w:cs="仿宋"/>
          <w:color w:val="auto"/>
          <w:spacing w:val="0"/>
          <w:sz w:val="31"/>
          <w:szCs w:val="31"/>
          <w:lang w:eastAsia="zh-CN"/>
        </w:rPr>
        <w:t>及垃圾分类</w:t>
      </w:r>
      <w:r>
        <w:rPr>
          <w:rFonts w:hint="eastAsia" w:ascii="仿宋" w:hAnsi="仿宋" w:eastAsia="仿宋" w:cs="仿宋"/>
          <w:color w:val="auto"/>
          <w:spacing w:val="0"/>
          <w:sz w:val="31"/>
          <w:szCs w:val="31"/>
        </w:rPr>
        <w:t>市场化</w:t>
      </w:r>
      <w:r>
        <w:rPr>
          <w:rFonts w:hint="eastAsia" w:ascii="仿宋" w:hAnsi="仿宋" w:eastAsia="仿宋" w:cs="仿宋"/>
          <w:color w:val="auto"/>
          <w:spacing w:val="0"/>
          <w:sz w:val="31"/>
          <w:szCs w:val="31"/>
          <w:lang w:eastAsia="zh-CN"/>
        </w:rPr>
        <w:t>服务</w:t>
      </w:r>
      <w:r>
        <w:rPr>
          <w:rFonts w:hint="eastAsia" w:ascii="仿宋" w:hAnsi="仿宋" w:eastAsia="仿宋" w:cs="仿宋"/>
          <w:color w:val="auto"/>
          <w:spacing w:val="0"/>
          <w:sz w:val="31"/>
          <w:szCs w:val="31"/>
        </w:rPr>
        <w:t>项目</w:t>
      </w:r>
      <w:r>
        <w:rPr>
          <w:rFonts w:hint="eastAsia" w:ascii="仿宋" w:hAnsi="仿宋" w:eastAsia="仿宋" w:cs="仿宋"/>
          <w:color w:val="auto"/>
          <w:spacing w:val="0"/>
          <w:sz w:val="31"/>
          <w:szCs w:val="31"/>
          <w:lang w:eastAsia="zh-CN"/>
        </w:rPr>
        <w:t>：</w:t>
      </w:r>
      <w:r>
        <w:rPr>
          <w:rFonts w:hint="eastAsia" w:ascii="仿宋" w:hAnsi="仿宋" w:eastAsia="仿宋" w:cs="仿宋"/>
          <w:color w:val="auto"/>
          <w:spacing w:val="0"/>
          <w:sz w:val="31"/>
          <w:szCs w:val="31"/>
          <w:lang w:val="en-US" w:eastAsia="zh-CN"/>
        </w:rPr>
        <w:t>提升了环卫保洁水平，不断提升城市环境面貌。良性利用城管数字平台信息系统的作用，实现了对机械 化作业、保洁质量、车辆运行、作业人员信息等的实时、全程 监管，进一步提升了环卫现代化、精细化管理水平。</w:t>
      </w:r>
      <w:bookmarkStart w:id="15" w:name="_Toc20541"/>
    </w:p>
    <w:p>
      <w:pPr>
        <w:spacing w:before="101" w:line="372" w:lineRule="auto"/>
        <w:ind w:left="6" w:firstLine="651"/>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（二）民生实事统筹推进</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eastAsia="仿宋_GB2312"/>
          <w:color w:val="auto"/>
          <w:sz w:val="32"/>
          <w:szCs w:val="32"/>
          <w:lang w:val="en-US" w:eastAsia="zh-CN"/>
        </w:rPr>
        <w:t>“一事一议”、灰色化道路、硬质渠道等项目（</w:t>
      </w:r>
      <w:r>
        <w:rPr>
          <w:rFonts w:ascii="仿宋_GB2312" w:eastAsia="仿宋_GB2312"/>
          <w:color w:val="auto"/>
          <w:sz w:val="32"/>
          <w:szCs w:val="32"/>
        </w:rPr>
        <w:t>潘双线、八八线</w:t>
      </w:r>
      <w:r>
        <w:rPr>
          <w:rFonts w:hint="eastAsia" w:ascii="仿宋_GB2312" w:eastAsia="仿宋_GB2312"/>
          <w:color w:val="auto"/>
          <w:sz w:val="32"/>
          <w:szCs w:val="32"/>
          <w:lang w:eastAsia="zh-CN"/>
        </w:rPr>
        <w:t>、</w:t>
      </w:r>
      <w:r>
        <w:rPr>
          <w:rFonts w:ascii="仿宋_GB2312" w:eastAsia="仿宋_GB2312"/>
          <w:color w:val="auto"/>
          <w:sz w:val="32"/>
          <w:szCs w:val="32"/>
        </w:rPr>
        <w:t>朱和线、八八线</w:t>
      </w:r>
      <w:r>
        <w:rPr>
          <w:rFonts w:hint="eastAsia" w:ascii="仿宋_GB2312" w:eastAsia="仿宋_GB2312"/>
          <w:color w:val="auto"/>
          <w:sz w:val="32"/>
          <w:szCs w:val="32"/>
          <w:lang w:val="en-US" w:eastAsia="zh-CN"/>
        </w:rPr>
        <w:t>2</w:t>
      </w:r>
      <w:r>
        <w:rPr>
          <w:rFonts w:ascii="仿宋_GB2312" w:eastAsia="仿宋_GB2312"/>
          <w:color w:val="auto"/>
          <w:sz w:val="32"/>
          <w:szCs w:val="32"/>
        </w:rPr>
        <w:t>、敬老院路提档升级提档升级</w:t>
      </w:r>
      <w:r>
        <w:rPr>
          <w:rFonts w:hint="eastAsia" w:ascii="仿宋_GB2312" w:eastAsia="仿宋_GB2312"/>
          <w:color w:val="auto"/>
          <w:sz w:val="32"/>
          <w:szCs w:val="32"/>
          <w:lang w:eastAsia="zh-CN"/>
        </w:rPr>
        <w:t>、</w:t>
      </w:r>
      <w:r>
        <w:rPr>
          <w:rFonts w:hint="eastAsia" w:ascii="仿宋_GB2312" w:hAnsi="宋体" w:eastAsia="仿宋_GB2312" w:cs="宋体"/>
          <w:b w:val="0"/>
          <w:color w:val="auto"/>
          <w:kern w:val="0"/>
          <w:sz w:val="32"/>
          <w:szCs w:val="32"/>
          <w:shd w:val="clear" w:color="auto" w:fill="FFFFFF"/>
          <w:lang w:val="en-US" w:eastAsia="zh-CN" w:bidi="ar-SA"/>
        </w:rPr>
        <w:t>樊集村东庄冲渠道工程、</w:t>
      </w:r>
      <w:r>
        <w:rPr>
          <w:rFonts w:hint="eastAsia" w:ascii="仿宋_GB2312" w:eastAsia="仿宋_GB2312"/>
          <w:color w:val="auto"/>
          <w:sz w:val="32"/>
          <w:szCs w:val="32"/>
          <w:lang w:val="en-US" w:eastAsia="zh-CN"/>
        </w:rPr>
        <w:t>海平庄水库、唐庄河堤防、梁洼水库消险工程、</w:t>
      </w:r>
      <w:r>
        <w:rPr>
          <w:rFonts w:hint="eastAsia" w:ascii="仿宋_GB2312" w:eastAsia="仿宋_GB2312"/>
          <w:color w:val="auto"/>
          <w:sz w:val="32"/>
          <w:szCs w:val="32"/>
          <w:shd w:val="clear" w:color="auto" w:fill="FFFFFF"/>
          <w:lang w:eastAsia="zh-CN"/>
        </w:rPr>
        <w:t>乡村道路大中修工程</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lang w:eastAsia="zh-CN"/>
        </w:rPr>
        <w:t>铁大</w:t>
      </w:r>
      <w:r>
        <w:rPr>
          <w:rFonts w:hint="eastAsia" w:ascii="仿宋_GB2312" w:eastAsia="仿宋_GB2312"/>
          <w:color w:val="auto"/>
          <w:sz w:val="32"/>
          <w:szCs w:val="32"/>
          <w:shd w:val="clear" w:color="auto" w:fill="FFFFFF"/>
        </w:rPr>
        <w:t>线、</w:t>
      </w:r>
      <w:r>
        <w:rPr>
          <w:rFonts w:hint="eastAsia" w:ascii="仿宋_GB2312" w:eastAsia="仿宋_GB2312"/>
          <w:color w:val="auto"/>
          <w:sz w:val="32"/>
          <w:szCs w:val="32"/>
          <w:shd w:val="clear" w:color="auto" w:fill="FFFFFF"/>
          <w:lang w:eastAsia="zh-CN"/>
        </w:rPr>
        <w:t>冶樊线、</w:t>
      </w:r>
      <w:r>
        <w:rPr>
          <w:rFonts w:hint="eastAsia" w:ascii="仿宋_GB2312" w:eastAsia="仿宋_GB2312"/>
          <w:color w:val="auto"/>
          <w:sz w:val="32"/>
          <w:szCs w:val="32"/>
          <w:lang w:eastAsia="zh-CN"/>
        </w:rPr>
        <w:t>焦塔</w:t>
      </w:r>
      <w:r>
        <w:rPr>
          <w:rFonts w:hint="eastAsia" w:ascii="仿宋_GB2312" w:eastAsia="仿宋_GB2312"/>
          <w:color w:val="auto"/>
          <w:sz w:val="32"/>
          <w:szCs w:val="32"/>
        </w:rPr>
        <w:t>线、</w:t>
      </w:r>
      <w:r>
        <w:rPr>
          <w:rFonts w:hint="eastAsia" w:ascii="仿宋_GB2312" w:eastAsia="仿宋_GB2312"/>
          <w:color w:val="auto"/>
          <w:sz w:val="32"/>
          <w:szCs w:val="32"/>
          <w:lang w:eastAsia="zh-CN"/>
        </w:rPr>
        <w:t>长邵</w:t>
      </w:r>
      <w:r>
        <w:rPr>
          <w:rFonts w:hint="eastAsia" w:ascii="仿宋_GB2312" w:eastAsia="仿宋_GB2312"/>
          <w:color w:val="auto"/>
          <w:sz w:val="32"/>
          <w:szCs w:val="32"/>
        </w:rPr>
        <w:t>线</w:t>
      </w:r>
      <w:r>
        <w:rPr>
          <w:rFonts w:hint="eastAsia" w:ascii="仿宋_GB2312" w:eastAsia="仿宋_GB2312"/>
          <w:color w:val="auto"/>
          <w:sz w:val="32"/>
          <w:szCs w:val="32"/>
          <w:shd w:val="clear" w:color="auto" w:fill="FFFFFF"/>
          <w:lang w:eastAsia="zh-CN"/>
        </w:rPr>
        <w:t>项目、</w:t>
      </w:r>
      <w:r>
        <w:rPr>
          <w:rFonts w:hint="eastAsia" w:ascii="仿宋_GB2312" w:eastAsia="仿宋_GB2312"/>
          <w:color w:val="auto"/>
          <w:sz w:val="32"/>
          <w:szCs w:val="32"/>
          <w:lang w:val="en-US" w:eastAsia="zh-CN"/>
        </w:rPr>
        <w:t>支二十九路一期道路建设工程）、夯实了强农基础、加快农村建设的重要组成部分，对改善金牛湖街道村民的出行条件、灌溉当地农作物，带动当地农村经济发展具有重要意义，村级公益事业一事一议财政奖补项目以点带面完成村居基础设施及重点精品项目的完善，用一事一议项目来点缀“乡村振兴”以及“十四五”规划的宏伟蓝图。市级美丽乡村宜居村建设项目打造12个美丽乡村宜居村、水泥路、路灯亮化、墙面出新、绿化等工程有力地促进当地经济发展，通过发展休闲生态观光游，推动第三产业发展，拓宽就业门路，既保护生态，又促进当地经济发展，可产生良好的经济效益、社会效益、生态效益。马头山孔洼水库库容恢复及生态清淤及维修工程，按时完成了相关工程量的工作内容，整体上提升了沿线的生态环境质量，美观度、安全性得到提高，为农田灌溉排水发挥了重要作用</w:t>
      </w:r>
      <w:r>
        <w:rPr>
          <w:rFonts w:hint="eastAsia" w:ascii="仿宋_GB2312" w:hAnsi="宋体" w:eastAsia="仿宋_GB2312" w:cs="宋体"/>
          <w:color w:val="auto"/>
          <w:sz w:val="32"/>
          <w:szCs w:val="32"/>
          <w:shd w:val="clear" w:color="auto" w:fill="FFFFFF"/>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460" w:lineRule="exact"/>
        <w:ind w:firstLine="628" w:firstLineChars="200"/>
        <w:textAlignment w:val="baseline"/>
        <w:outlineLvl w:val="0"/>
        <w:rPr>
          <w:rFonts w:hint="eastAsia" w:ascii="黑体" w:hAnsi="黑体" w:eastAsia="黑体" w:cs="黑体"/>
          <w:color w:val="auto"/>
          <w:spacing w:val="-3"/>
          <w:sz w:val="32"/>
          <w:szCs w:val="32"/>
          <w:lang w:val="en-US" w:eastAsia="zh-CN"/>
          <w14:textOutline w14:w="5791" w14:cap="flat" w14:cmpd="sng">
            <w14:solidFill>
              <w14:srgbClr w14:val="000000"/>
            </w14:solidFill>
            <w14:prstDash w14:val="solid"/>
            <w14:miter w14:val="0"/>
          </w14:textOutline>
        </w:rPr>
      </w:pPr>
      <w:bookmarkStart w:id="16" w:name="_Toc28306"/>
      <w:r>
        <w:rPr>
          <w:rFonts w:hint="eastAsia" w:ascii="黑体" w:hAnsi="黑体" w:eastAsia="黑体" w:cs="黑体"/>
          <w:color w:val="auto"/>
          <w:spacing w:val="-3"/>
          <w:sz w:val="32"/>
          <w:szCs w:val="32"/>
          <w:lang w:val="en-US" w:eastAsia="zh-CN"/>
          <w14:textOutline w14:w="5791" w14:cap="flat" w14:cmpd="sng">
            <w14:solidFill>
              <w14:srgbClr w14:val="000000"/>
            </w14:solidFill>
            <w14:prstDash w14:val="solid"/>
            <w14:miter w14:val="0"/>
          </w14:textOutline>
        </w:rPr>
        <w:t>四、存在问题</w:t>
      </w:r>
      <w:bookmarkEnd w:id="16"/>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napToGrid w:val="0"/>
          <w:color w:val="auto"/>
          <w:kern w:val="0"/>
          <w:sz w:val="32"/>
          <w:szCs w:val="32"/>
          <w:shd w:val="clear" w:color="auto" w:fill="FFFFFF"/>
          <w:lang w:val="en-US" w:eastAsia="zh-CN"/>
        </w:rPr>
      </w:pPr>
      <w:bookmarkStart w:id="17" w:name="_Toc3064"/>
      <w:r>
        <w:rPr>
          <w:rFonts w:hint="eastAsia" w:ascii="仿宋_GB2312" w:hAnsi="宋体" w:eastAsia="仿宋_GB2312" w:cs="宋体"/>
          <w:snapToGrid w:val="0"/>
          <w:color w:val="auto"/>
          <w:kern w:val="0"/>
          <w:sz w:val="32"/>
          <w:szCs w:val="32"/>
          <w:shd w:val="clear" w:color="auto" w:fill="FFFFFF"/>
          <w:lang w:val="en-US" w:eastAsia="zh-CN"/>
        </w:rPr>
        <w:t>（一）</w:t>
      </w:r>
      <w:bookmarkEnd w:id="17"/>
      <w:r>
        <w:rPr>
          <w:rFonts w:hint="default" w:ascii="仿宋_GB2312" w:hAnsi="宋体" w:eastAsia="仿宋_GB2312" w:cs="宋体"/>
          <w:snapToGrid w:val="0"/>
          <w:color w:val="auto"/>
          <w:kern w:val="0"/>
          <w:sz w:val="32"/>
          <w:szCs w:val="32"/>
          <w:shd w:val="clear" w:color="auto" w:fill="FFFFFF"/>
          <w:lang w:val="en-US" w:eastAsia="zh-CN"/>
        </w:rPr>
        <w:t>民生基础设施不够完善。受基层财力所限，文化、体育、服务类设施多集中在群众居住聚集的位置，而我街地域范围广，每个点位能辐射的半径不够，导致有部分群众不能很方便的使用这些基础设施；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宋体"/>
          <w:snapToGrid w:val="0"/>
          <w:color w:val="auto"/>
          <w:kern w:val="0"/>
          <w:sz w:val="32"/>
          <w:szCs w:val="32"/>
          <w:shd w:val="clear" w:color="auto" w:fill="FFFFFF"/>
          <w:lang w:val="en-US" w:eastAsia="zh-CN"/>
        </w:rPr>
      </w:pPr>
      <w:bookmarkStart w:id="18" w:name="_Toc23235"/>
      <w:r>
        <w:rPr>
          <w:rFonts w:hint="eastAsia" w:ascii="仿宋_GB2312" w:hAnsi="宋体" w:eastAsia="仿宋_GB2312" w:cs="宋体"/>
          <w:snapToGrid w:val="0"/>
          <w:color w:val="auto"/>
          <w:kern w:val="0"/>
          <w:sz w:val="32"/>
          <w:szCs w:val="32"/>
          <w:shd w:val="clear" w:color="auto" w:fill="FFFFFF"/>
          <w:lang w:val="en-US" w:eastAsia="zh-CN"/>
        </w:rPr>
        <w:t>（二）</w:t>
      </w:r>
      <w:bookmarkEnd w:id="18"/>
      <w:bookmarkStart w:id="19" w:name="_Toc2267"/>
      <w:r>
        <w:rPr>
          <w:rFonts w:hint="default" w:ascii="仿宋_GB2312" w:hAnsi="宋体" w:eastAsia="仿宋_GB2312" w:cs="宋体"/>
          <w:snapToGrid w:val="0"/>
          <w:color w:val="auto"/>
          <w:kern w:val="0"/>
          <w:sz w:val="32"/>
          <w:szCs w:val="32"/>
          <w:shd w:val="clear" w:color="auto" w:fill="FFFFFF"/>
          <w:lang w:val="en-US" w:eastAsia="zh-CN"/>
        </w:rPr>
        <w:t>招商引资不够精准，一方面所引进的项目中，科技含量高、带动能力强、幅射作用大的龙头型企业偏少，未形成产业集群效应，另一方面招商视野不开阔，缺乏开拓思路，仍停留于小区域、小资源和小市场层面；</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snapToGrid w:val="0"/>
          <w:color w:val="auto"/>
          <w:kern w:val="0"/>
          <w:sz w:val="32"/>
          <w:szCs w:val="32"/>
          <w:shd w:val="clear" w:color="auto" w:fill="FFFFFF"/>
          <w:lang w:val="en-US" w:eastAsia="zh-CN"/>
        </w:rPr>
      </w:pPr>
      <w:r>
        <w:rPr>
          <w:rFonts w:hint="eastAsia" w:ascii="仿宋_GB2312" w:hAnsi="宋体" w:eastAsia="仿宋_GB2312" w:cs="宋体"/>
          <w:snapToGrid w:val="0"/>
          <w:color w:val="auto"/>
          <w:kern w:val="0"/>
          <w:sz w:val="32"/>
          <w:szCs w:val="32"/>
          <w:shd w:val="clear" w:color="auto" w:fill="FFFFFF"/>
          <w:lang w:val="en-US" w:eastAsia="zh-CN"/>
        </w:rPr>
        <w:t>（三）</w:t>
      </w:r>
      <w:r>
        <w:rPr>
          <w:rFonts w:hint="default" w:ascii="仿宋_GB2312" w:hAnsi="宋体" w:eastAsia="仿宋_GB2312" w:cs="宋体"/>
          <w:snapToGrid w:val="0"/>
          <w:color w:val="auto"/>
          <w:kern w:val="0"/>
          <w:sz w:val="32"/>
          <w:szCs w:val="32"/>
          <w:shd w:val="clear" w:color="auto" w:fill="FFFFFF"/>
          <w:lang w:val="en-US" w:eastAsia="zh-CN"/>
        </w:rPr>
        <w:t>财政负担压力大，一方面受疫情及恒大养生谷、金牛湖文旅等项目留底退税影响，同时街道工业企业税收基本保持与去年持平，一般公共预算收入大幅下降；另一方面原城建开发类项目较多，随着房地产行业的下行，项目开发量少，全社会固定资产投资呈下行趋势</w:t>
      </w:r>
      <w:r>
        <w:rPr>
          <w:rFonts w:hint="eastAsia" w:ascii="仿宋_GB2312" w:hAnsi="宋体" w:eastAsia="仿宋_GB2312" w:cs="宋体"/>
          <w:snapToGrid w:val="0"/>
          <w:color w:val="auto"/>
          <w:kern w:val="0"/>
          <w:sz w:val="32"/>
          <w:szCs w:val="32"/>
          <w:shd w:val="clear" w:color="auto" w:fill="FFFFFF"/>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 w:line="460" w:lineRule="exact"/>
        <w:ind w:firstLine="628" w:firstLineChars="200"/>
        <w:textAlignment w:val="baseline"/>
        <w:outlineLvl w:val="0"/>
        <w:rPr>
          <w:rFonts w:ascii="黑体" w:hAnsi="黑体" w:eastAsia="黑体" w:cs="黑体"/>
          <w:color w:val="auto"/>
          <w:spacing w:val="-3"/>
          <w:sz w:val="32"/>
          <w:szCs w:val="32"/>
          <w14:textOutline w14:w="5791" w14:cap="flat" w14:cmpd="sng">
            <w14:solidFill>
              <w14:srgbClr w14:val="000000"/>
            </w14:solidFill>
            <w14:prstDash w14:val="solid"/>
            <w14:miter w14:val="0"/>
          </w14:textOutline>
        </w:rPr>
      </w:pPr>
      <w:r>
        <w:rPr>
          <w:rFonts w:hint="eastAsia" w:ascii="黑体" w:hAnsi="黑体" w:eastAsia="黑体" w:cs="黑体"/>
          <w:color w:val="auto"/>
          <w:spacing w:val="-3"/>
          <w:sz w:val="32"/>
          <w:szCs w:val="32"/>
          <w:lang w:eastAsia="zh-CN"/>
          <w14:textOutline w14:w="5791" w14:cap="flat" w14:cmpd="sng">
            <w14:solidFill>
              <w14:srgbClr w14:val="000000"/>
            </w14:solidFill>
            <w14:prstDash w14:val="solid"/>
            <w14:miter w14:val="0"/>
          </w14:textOutline>
        </w:rPr>
        <w:t>五、</w:t>
      </w:r>
      <w:r>
        <w:rPr>
          <w:rFonts w:ascii="黑体" w:hAnsi="黑体" w:eastAsia="黑体" w:cs="黑体"/>
          <w:color w:val="auto"/>
          <w:spacing w:val="-3"/>
          <w:sz w:val="32"/>
          <w:szCs w:val="32"/>
          <w14:textOutline w14:w="5791" w14:cap="flat" w14:cmpd="sng">
            <w14:solidFill>
              <w14:srgbClr w14:val="000000"/>
            </w14:solidFill>
            <w14:prstDash w14:val="solid"/>
            <w14:miter w14:val="0"/>
          </w14:textOutline>
        </w:rPr>
        <w:t>有关建议</w:t>
      </w:r>
      <w:bookmarkEnd w:id="19"/>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640" w:firstLineChars="200"/>
        <w:textAlignment w:val="baseline"/>
        <w:outlineLvl w:val="1"/>
        <w:rPr>
          <w:rFonts w:hint="default"/>
          <w:lang w:val="en-US" w:eastAsia="zh-CN"/>
        </w:rPr>
      </w:pPr>
      <w:bookmarkStart w:id="20" w:name="_Toc16602"/>
      <w:r>
        <w:rPr>
          <w:rFonts w:hint="eastAsia"/>
          <w:lang w:eastAsia="zh-CN"/>
        </w:rPr>
        <w:t>（一）</w:t>
      </w:r>
      <w:bookmarkEnd w:id="20"/>
      <w:r>
        <w:rPr>
          <w:rFonts w:hint="eastAsia"/>
          <w:lang w:val="en-US" w:eastAsia="zh-CN"/>
        </w:rPr>
        <w:t>加大民生基础设施的改造与建设</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s="宋体"/>
          <w:sz w:val="32"/>
          <w:szCs w:val="32"/>
          <w:shd w:val="clear" w:color="auto" w:fill="FFFFFF"/>
          <w:lang w:val="en-US" w:eastAsia="zh-CN"/>
        </w:rPr>
      </w:pPr>
      <w:r>
        <w:rPr>
          <w:rFonts w:hint="eastAsia" w:ascii="仿宋_GB2312" w:eastAsia="仿宋_GB2312" w:cs="宋体"/>
          <w:sz w:val="32"/>
          <w:szCs w:val="32"/>
          <w:shd w:val="clear" w:color="auto" w:fill="FFFFFF"/>
          <w:lang w:val="en-US" w:eastAsia="zh-CN"/>
        </w:rPr>
        <w:t>进一步</w:t>
      </w:r>
      <w:r>
        <w:rPr>
          <w:rFonts w:hint="eastAsia" w:ascii="仿宋_GB2312" w:hAnsi="宋体" w:eastAsia="仿宋_GB2312" w:cs="宋体"/>
          <w:snapToGrid w:val="0"/>
          <w:color w:val="000000"/>
          <w:kern w:val="0"/>
          <w:sz w:val="32"/>
          <w:szCs w:val="32"/>
          <w:shd w:val="clear" w:color="auto" w:fill="FFFFFF"/>
          <w:lang w:val="en-US" w:eastAsia="zh-CN"/>
        </w:rPr>
        <w:t>加大</w:t>
      </w:r>
      <w:r>
        <w:rPr>
          <w:rFonts w:hint="default" w:ascii="仿宋_GB2312" w:hAnsi="宋体" w:eastAsia="仿宋_GB2312" w:cs="宋体"/>
          <w:snapToGrid w:val="0"/>
          <w:color w:val="000000"/>
          <w:kern w:val="0"/>
          <w:sz w:val="32"/>
          <w:szCs w:val="32"/>
          <w:shd w:val="clear" w:color="auto" w:fill="FFFFFF"/>
          <w:lang w:val="en-US" w:eastAsia="zh-CN"/>
        </w:rPr>
        <w:t>文化、体育、服务类设施</w:t>
      </w:r>
      <w:r>
        <w:rPr>
          <w:rFonts w:hint="eastAsia" w:ascii="仿宋_GB2312" w:hAnsi="宋体" w:eastAsia="仿宋_GB2312" w:cs="宋体"/>
          <w:snapToGrid w:val="0"/>
          <w:color w:val="000000"/>
          <w:kern w:val="0"/>
          <w:sz w:val="32"/>
          <w:szCs w:val="32"/>
          <w:shd w:val="clear" w:color="auto" w:fill="FFFFFF"/>
          <w:lang w:val="en-US" w:eastAsia="zh-CN"/>
        </w:rPr>
        <w:t>的改造与建设，加大基层财力</w:t>
      </w:r>
      <w:r>
        <w:rPr>
          <w:rFonts w:hint="eastAsia" w:ascii="仿宋_GB2312" w:eastAsia="仿宋_GB2312" w:cs="宋体"/>
          <w:sz w:val="32"/>
          <w:szCs w:val="32"/>
          <w:shd w:val="clear" w:color="auto" w:fill="FFFFFF"/>
          <w:lang w:val="en-US" w:eastAsia="zh-CN"/>
        </w:rPr>
        <w:t>的投入。充分考虑到我街的地域、位置、群众居住聚集地的具体情况，为群众的文化业余生活注入动力，提高群众的获得感和幸福感。</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56" w:firstLineChars="200"/>
        <w:textAlignment w:val="auto"/>
        <w:outlineLvl w:val="1"/>
        <w:rPr>
          <w:rFonts w:hint="default" w:ascii="仿宋_GB2312" w:hAnsi="仿宋_GB2312" w:eastAsia="仿宋_GB2312" w:cs="仿宋_GB2312"/>
          <w:color w:val="auto"/>
          <w:spacing w:val="4"/>
          <w:sz w:val="32"/>
          <w:szCs w:val="32"/>
          <w:lang w:val="en-US" w:eastAsia="zh-CN"/>
        </w:rPr>
      </w:pPr>
      <w:bookmarkStart w:id="21" w:name="_Toc23802"/>
      <w:r>
        <w:rPr>
          <w:rFonts w:hint="eastAsia" w:ascii="仿宋_GB2312" w:hAnsi="仿宋_GB2312" w:eastAsia="仿宋_GB2312" w:cs="仿宋_GB2312"/>
          <w:color w:val="auto"/>
          <w:spacing w:val="4"/>
          <w:sz w:val="32"/>
          <w:szCs w:val="32"/>
          <w:lang w:val="en-US" w:eastAsia="zh-CN"/>
        </w:rPr>
        <w:t>（二）</w:t>
      </w:r>
      <w:r>
        <w:rPr>
          <w:rFonts w:hint="default" w:ascii="仿宋_GB2312" w:hAnsi="仿宋_GB2312" w:eastAsia="仿宋_GB2312" w:cs="仿宋_GB2312"/>
          <w:color w:val="auto"/>
          <w:spacing w:val="4"/>
          <w:sz w:val="32"/>
          <w:szCs w:val="32"/>
          <w:lang w:val="en-US" w:eastAsia="zh-CN"/>
        </w:rPr>
        <w:t>推进重大项目提速增量</w:t>
      </w:r>
      <w:bookmarkEnd w:id="21"/>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56" w:firstLineChars="200"/>
        <w:textAlignment w:val="auto"/>
        <w:rPr>
          <w:rFonts w:hint="default" w:ascii="仿宋_GB2312" w:hAnsi="仿宋_GB2312" w:eastAsia="仿宋_GB2312" w:cs="仿宋_GB2312"/>
          <w:color w:val="auto"/>
          <w:spacing w:val="4"/>
          <w:sz w:val="32"/>
          <w:szCs w:val="32"/>
          <w:lang w:val="en-US" w:eastAsia="zh-CN"/>
        </w:rPr>
      </w:pPr>
      <w:r>
        <w:rPr>
          <w:rFonts w:hint="default" w:ascii="仿宋_GB2312" w:hAnsi="仿宋_GB2312" w:eastAsia="仿宋_GB2312" w:cs="仿宋_GB2312"/>
          <w:color w:val="auto"/>
          <w:spacing w:val="4"/>
          <w:sz w:val="32"/>
          <w:szCs w:val="32"/>
          <w:lang w:val="en-US" w:eastAsia="zh-CN"/>
        </w:rPr>
        <w:t>加大招商引资力度，统筹招商力量、优化招商环境方面探索新方法、举办一到两次的招商推介会，推动招商引资工作取得较好成效。继续做好休闲农业和乡村旅游示范点的培养和发展，全力做好全域旅游示范区创建的验收工作，推进一二三产融合发展；大力推进企业与高等院校、科研院所开展多种形式的产学研合作，引进高科技人才，开展研发攻关，现场交流与指导解决技术难题，带动街道本土企业向高科技、高效益发展。</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200"/>
        <w:textAlignment w:val="baseline"/>
        <w:outlineLvl w:val="1"/>
        <w:rPr>
          <w:rFonts w:hint="eastAsia"/>
          <w:lang w:val="en-US" w:eastAsia="zh-CN"/>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200"/>
        <w:textAlignment w:val="baseline"/>
        <w:outlineLvl w:val="1"/>
        <w:rPr>
          <w:rFonts w:hint="eastAsia"/>
          <w:lang w:eastAsia="zh-CN"/>
        </w:rPr>
      </w:pPr>
      <w:r>
        <w:rPr>
          <w:rFonts w:hint="eastAsia"/>
          <w:lang w:eastAsia="zh-CN"/>
        </w:rPr>
        <w:t>（</w:t>
      </w:r>
      <w:r>
        <w:rPr>
          <w:rFonts w:hint="eastAsia"/>
          <w:lang w:val="en-US" w:eastAsia="zh-CN"/>
        </w:rPr>
        <w:t>三</w:t>
      </w:r>
      <w:r>
        <w:rPr>
          <w:rFonts w:hint="eastAsia"/>
          <w:lang w:eastAsia="zh-CN"/>
        </w:rPr>
        <w:t>）强化专项资金的管理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sz w:val="32"/>
          <w:szCs w:val="32"/>
          <w:shd w:val="clear" w:color="auto" w:fill="FFFFFF"/>
          <w:lang w:val="en-US" w:eastAsia="zh-CN"/>
        </w:rPr>
      </w:pPr>
      <w:r>
        <w:rPr>
          <w:rFonts w:hint="eastAsia" w:ascii="仿宋_GB2312" w:eastAsia="仿宋_GB2312" w:cs="宋体"/>
          <w:sz w:val="32"/>
          <w:szCs w:val="32"/>
          <w:shd w:val="clear" w:color="auto" w:fill="FFFFFF"/>
          <w:lang w:val="en-US" w:eastAsia="zh-CN"/>
        </w:rPr>
        <w:t>进一步强化相关专项资金的规划投入，保证项目的延续性。</w:t>
      </w:r>
      <w:r>
        <w:rPr>
          <w:rFonts w:hint="eastAsia" w:ascii="仿宋_GB2312" w:hAnsi="宋体" w:eastAsia="仿宋_GB2312" w:cs="宋体"/>
          <w:snapToGrid w:val="0"/>
          <w:color w:val="000000"/>
          <w:kern w:val="0"/>
          <w:sz w:val="32"/>
          <w:szCs w:val="32"/>
          <w:shd w:val="clear" w:color="auto" w:fill="FFFFFF"/>
          <w:lang w:val="en-US" w:eastAsia="zh-CN"/>
        </w:rPr>
        <w:t>加强对项目资金的管理的使用力度，严格按照项目预算执行，确保资金能够合理、高效、增强项目资金的使用效率。组织街道中层及财务报账员业务和安全学习，提高管理人员和财务核算员资金使用规范性，防止违纪现象发生。</w:t>
      </w:r>
    </w:p>
    <w:p>
      <w:pPr>
        <w:rPr>
          <w:rFonts w:ascii="Microsoft JhengHei"/>
          <w:sz w:val="21"/>
        </w:rPr>
      </w:pPr>
    </w:p>
    <w:p>
      <w:pPr>
        <w:pStyle w:val="3"/>
        <w:rPr>
          <w:rFonts w:ascii="Microsoft JhengHei"/>
          <w:sz w:val="21"/>
        </w:rPr>
      </w:pPr>
    </w:p>
    <w:p>
      <w:pPr>
        <w:rPr>
          <w:rFonts w:hint="eastAsia" w:ascii="仿宋_GB2312" w:hAnsi="仿宋_GB2312" w:eastAsia="仿宋_GB2312" w:cs="仿宋_GB2312"/>
          <w:color w:val="auto"/>
          <w:spacing w:val="4"/>
          <w:sz w:val="32"/>
          <w:szCs w:val="32"/>
          <w:lang w:val="en-US" w:eastAsia="zh-CN"/>
        </w:rPr>
      </w:pPr>
      <w:r>
        <w:rPr>
          <w:rFonts w:hint="eastAsia" w:ascii="Microsoft JhengHei" w:eastAsia="宋体"/>
          <w:sz w:val="21"/>
          <w:lang w:val="en-US" w:eastAsia="zh-CN"/>
        </w:rPr>
        <w:t xml:space="preserve">                                                                     </w:t>
      </w:r>
      <w:r>
        <w:rPr>
          <w:rFonts w:hint="eastAsia" w:ascii="仿宋_GB2312" w:hAnsi="仿宋_GB2312" w:eastAsia="仿宋_GB2312" w:cs="仿宋_GB2312"/>
          <w:color w:val="auto"/>
          <w:spacing w:val="4"/>
          <w:sz w:val="32"/>
          <w:szCs w:val="32"/>
          <w:lang w:val="en-US" w:eastAsia="zh-CN"/>
        </w:rPr>
        <w:t>南京市六合区人民政府金牛湖街道办事处</w:t>
      </w:r>
    </w:p>
    <w:p>
      <w:pPr>
        <w:pStyle w:val="3"/>
        <w:rPr>
          <w:rFonts w:hint="eastAsia"/>
          <w:color w:val="auto"/>
          <w:lang w:val="en-US" w:eastAsia="zh-CN"/>
        </w:rPr>
      </w:pPr>
      <w:r>
        <w:rPr>
          <w:rFonts w:hint="eastAsia" w:ascii="Microsoft JhengHei" w:eastAsia="宋体"/>
          <w:sz w:val="21"/>
          <w:lang w:val="en-US" w:eastAsia="zh-CN"/>
        </w:rPr>
        <w:t xml:space="preserve">                                                                                    </w:t>
      </w:r>
      <w:r>
        <w:rPr>
          <w:rFonts w:hint="eastAsia" w:ascii="Microsoft JhengHei" w:eastAsia="宋体"/>
          <w:color w:val="C00000"/>
          <w:sz w:val="21"/>
          <w:lang w:val="en-US" w:eastAsia="zh-CN"/>
        </w:rPr>
        <w:t xml:space="preserve">         </w:t>
      </w:r>
      <w:r>
        <w:rPr>
          <w:rFonts w:hint="eastAsia" w:ascii="仿宋_GB2312" w:hAnsi="仿宋_GB2312" w:eastAsia="仿宋_GB2312" w:cs="仿宋_GB2312"/>
          <w:b w:val="0"/>
          <w:bCs w:val="0"/>
          <w:snapToGrid w:val="0"/>
          <w:color w:val="auto"/>
          <w:spacing w:val="4"/>
          <w:kern w:val="0"/>
          <w:sz w:val="32"/>
          <w:szCs w:val="32"/>
          <w:lang w:val="en-US" w:eastAsia="zh-CN"/>
        </w:rPr>
        <w:t xml:space="preserve"> 2023年2月17日</w:t>
      </w:r>
    </w:p>
    <w:p>
      <w:pPr>
        <w:rPr>
          <w:rFonts w:hint="eastAsia" w:ascii="仿宋_GB2312" w:hAnsi="仿宋_GB2312" w:eastAsia="仿宋_GB2312" w:cs="仿宋_GB2312"/>
          <w:b w:val="0"/>
          <w:bCs w:val="0"/>
          <w:snapToGrid w:val="0"/>
          <w:color w:val="auto"/>
          <w:spacing w:val="4"/>
          <w:kern w:val="0"/>
          <w:sz w:val="32"/>
          <w:szCs w:val="32"/>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pPr>
    </w:p>
    <w:sectPr>
      <w:footerReference r:id="rId5" w:type="default"/>
      <w:pgSz w:w="11906" w:h="16838"/>
      <w:pgMar w:top="1012" w:right="1124" w:bottom="1375" w:left="1322" w:header="0" w:footer="12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701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274B7"/>
    <w:multiLevelType w:val="singleLevel"/>
    <w:tmpl w:val="B56274B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QzNGJkMjM1YzNjNTYwZTNjNDcyMmE3YWRhYzc0ZDAifQ=="/>
  </w:docVars>
  <w:rsids>
    <w:rsidRoot w:val="00000000"/>
    <w:rsid w:val="00794D7F"/>
    <w:rsid w:val="01085CB8"/>
    <w:rsid w:val="01544613"/>
    <w:rsid w:val="01B04987"/>
    <w:rsid w:val="01B43EA1"/>
    <w:rsid w:val="04875447"/>
    <w:rsid w:val="04BB7BBF"/>
    <w:rsid w:val="04F337B5"/>
    <w:rsid w:val="07356443"/>
    <w:rsid w:val="0A6C6691"/>
    <w:rsid w:val="0AA504F3"/>
    <w:rsid w:val="0D0A47E7"/>
    <w:rsid w:val="0F563264"/>
    <w:rsid w:val="11861240"/>
    <w:rsid w:val="126853F2"/>
    <w:rsid w:val="133B79AC"/>
    <w:rsid w:val="1554409C"/>
    <w:rsid w:val="1630404F"/>
    <w:rsid w:val="17EE32CD"/>
    <w:rsid w:val="18131E01"/>
    <w:rsid w:val="18CD45C3"/>
    <w:rsid w:val="190A4A1D"/>
    <w:rsid w:val="1AA21021"/>
    <w:rsid w:val="1B8E7C51"/>
    <w:rsid w:val="1EC57AEB"/>
    <w:rsid w:val="1F33715A"/>
    <w:rsid w:val="1FEB7136"/>
    <w:rsid w:val="22742716"/>
    <w:rsid w:val="268E2E2C"/>
    <w:rsid w:val="26E52895"/>
    <w:rsid w:val="27906EE8"/>
    <w:rsid w:val="29BB3B64"/>
    <w:rsid w:val="2A3035AC"/>
    <w:rsid w:val="2BF37A45"/>
    <w:rsid w:val="2C154D84"/>
    <w:rsid w:val="2E597C55"/>
    <w:rsid w:val="2E7A5744"/>
    <w:rsid w:val="31A0241D"/>
    <w:rsid w:val="320C697E"/>
    <w:rsid w:val="32155249"/>
    <w:rsid w:val="32544FB6"/>
    <w:rsid w:val="350C6672"/>
    <w:rsid w:val="35BB6388"/>
    <w:rsid w:val="36272711"/>
    <w:rsid w:val="375A0A6C"/>
    <w:rsid w:val="3ACC3058"/>
    <w:rsid w:val="3B3C787E"/>
    <w:rsid w:val="3CC5471A"/>
    <w:rsid w:val="3D466266"/>
    <w:rsid w:val="3DC43A32"/>
    <w:rsid w:val="3F144B61"/>
    <w:rsid w:val="413D4D04"/>
    <w:rsid w:val="41AF75EC"/>
    <w:rsid w:val="44CC0E6C"/>
    <w:rsid w:val="45C81AEB"/>
    <w:rsid w:val="47152B0E"/>
    <w:rsid w:val="4819662E"/>
    <w:rsid w:val="48F82648"/>
    <w:rsid w:val="49385E38"/>
    <w:rsid w:val="494D47E1"/>
    <w:rsid w:val="4A8D5E63"/>
    <w:rsid w:val="4C993C98"/>
    <w:rsid w:val="4CE03BBE"/>
    <w:rsid w:val="4D7047F6"/>
    <w:rsid w:val="4DB85903"/>
    <w:rsid w:val="4DEC0FDF"/>
    <w:rsid w:val="52BB3F31"/>
    <w:rsid w:val="54CB051B"/>
    <w:rsid w:val="554639D8"/>
    <w:rsid w:val="559C2B85"/>
    <w:rsid w:val="55C3614E"/>
    <w:rsid w:val="565B5FB2"/>
    <w:rsid w:val="57322F92"/>
    <w:rsid w:val="58005730"/>
    <w:rsid w:val="592D1F8D"/>
    <w:rsid w:val="5A157841"/>
    <w:rsid w:val="5B1A513A"/>
    <w:rsid w:val="5C4C6B9D"/>
    <w:rsid w:val="5C754180"/>
    <w:rsid w:val="5EF326E2"/>
    <w:rsid w:val="5EF37B31"/>
    <w:rsid w:val="5FB86BCD"/>
    <w:rsid w:val="61F47A98"/>
    <w:rsid w:val="69004F74"/>
    <w:rsid w:val="6AC47495"/>
    <w:rsid w:val="6B1271E1"/>
    <w:rsid w:val="6D846F25"/>
    <w:rsid w:val="6DD17D42"/>
    <w:rsid w:val="6E3D204E"/>
    <w:rsid w:val="6E66587A"/>
    <w:rsid w:val="6EDC5AAC"/>
    <w:rsid w:val="707149AA"/>
    <w:rsid w:val="709B4B14"/>
    <w:rsid w:val="71485B28"/>
    <w:rsid w:val="721418C3"/>
    <w:rsid w:val="73A11C60"/>
    <w:rsid w:val="73BC536D"/>
    <w:rsid w:val="75063912"/>
    <w:rsid w:val="760A7432"/>
    <w:rsid w:val="767E3F6C"/>
    <w:rsid w:val="77135365"/>
    <w:rsid w:val="77D00208"/>
    <w:rsid w:val="7A811A28"/>
    <w:rsid w:val="7B170467"/>
    <w:rsid w:val="7B691E28"/>
    <w:rsid w:val="7BE719C4"/>
    <w:rsid w:val="7C7F6B0B"/>
    <w:rsid w:val="7DA91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200" w:leftChars="200" w:firstLine="420"/>
    </w:pPr>
    <w:rPr>
      <w:rFonts w:ascii="仿宋_GB2312" w:eastAsia="仿宋_GB2312" w:cs="仿宋_GB2312"/>
      <w:sz w:val="32"/>
      <w:szCs w:val="32"/>
    </w:rPr>
  </w:style>
  <w:style w:type="paragraph" w:styleId="4">
    <w:name w:val="Normal Indent"/>
    <w:basedOn w:val="1"/>
    <w:qFormat/>
    <w:uiPriority w:val="0"/>
    <w:pPr>
      <w:ind w:firstLine="420" w:firstLineChars="200"/>
    </w:pPr>
    <w:rPr>
      <w:rFonts w:eastAsia="仿宋"/>
    </w:rPr>
  </w:style>
  <w:style w:type="paragraph" w:styleId="5">
    <w:name w:val="Body Text"/>
    <w:basedOn w:val="1"/>
    <w:unhideWhenUsed/>
    <w:qFormat/>
    <w:uiPriority w:val="99"/>
    <w:pPr>
      <w:spacing w:after="120"/>
    </w:pPr>
  </w:style>
  <w:style w:type="paragraph" w:styleId="6">
    <w:name w:val="Body Text Indent"/>
    <w:basedOn w:val="1"/>
    <w:next w:val="4"/>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6"/>
    <w:qFormat/>
    <w:uiPriority w:val="0"/>
    <w:pPr>
      <w:spacing w:line="580" w:lineRule="exact"/>
      <w:ind w:left="640" w:leftChars="200" w:firstLine="0" w:firstLineChars="0"/>
      <w:outlineLvl w:val="0"/>
    </w:pPr>
    <w:rPr>
      <w:rFonts w:ascii="Arial" w:hAnsi="Arial" w:eastAsia="仿宋_GB2312" w:cs="Times New Roman"/>
      <w:b/>
      <w:sz w:val="32"/>
      <w:szCs w:val="24"/>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表段落1"/>
    <w:basedOn w:val="1"/>
    <w:qFormat/>
    <w:uiPriority w:val="0"/>
    <w:pPr>
      <w:ind w:firstLine="420" w:firstLineChars="200"/>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7503</Words>
  <Characters>7855</Characters>
  <TotalTime>95</TotalTime>
  <ScaleCrop>false</ScaleCrop>
  <LinksUpToDate>false</LinksUpToDate>
  <CharactersWithSpaces>8035</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2021-10-25T15:47:00Z</dcterms:created>
  <dc:creator>Dell</dc:creator>
  <cp:lastModifiedBy>Administrator</cp:lastModifiedBy>
  <cp:lastPrinted>2023-09-19T02:31:00Z</cp:lastPrinted>
  <dcterms:modified xsi:type="dcterms:W3CDTF">2023-09-21T13:32:32Z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2021-10-28T08:50:13Z</vt:filetime>
  </property>
  <property fmtid="{D5CDD505-2E9C-101B-9397-08002B2CF9AE}" pid="4" name="KSOProductBuildVer">
    <vt:lpwstr>2052-12.1.0.15374</vt:lpwstr>
  </property>
  <property fmtid="{D5CDD505-2E9C-101B-9397-08002B2CF9AE}" pid="5" name="ICV">
    <vt:lpwstr>8F75E197164A40ADB3D1E7C4F049EF47</vt:lpwstr>
  </property>
</Properties>
</file>