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南京市六合区2023年上半年国民经济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val="en-US" w:eastAsia="zh-CN"/>
        </w:rPr>
        <w:t>和社会发展计划执行情况</w:t>
      </w:r>
    </w:p>
    <w:p>
      <w:pPr>
        <w:spacing w:line="560" w:lineRule="exact"/>
        <w:ind w:firstLine="640" w:firstLineChars="200"/>
        <w:rPr>
          <w:rFonts w:ascii="Times New Roman" w:hAnsi="Times New Roman" w:eastAsia="方正黑体简体" w:cs="Times New Roman"/>
          <w:sz w:val="32"/>
          <w:szCs w:val="32"/>
        </w:rPr>
      </w:pPr>
    </w:p>
    <w:p>
      <w:pPr>
        <w:spacing w:line="560" w:lineRule="exact"/>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一、上半年国民经济和社会发展计划执行情况</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今年以来，全区上下坚持以习近平新时代中国特色社会主义思想为指导，全面贯彻落实党的二十大精神，坚持稳中求进工作总基调，完整、准确、全面贯彻新发展理念，加快构建新发展格局，沉着应对困难挑战</w:t>
      </w:r>
      <w:r>
        <w:rPr>
          <w:rFonts w:hint="eastAsia" w:ascii="Times New Roman" w:hAnsi="Times New Roman" w:eastAsia="方正仿宋简体" w:cs="Times New Roman"/>
          <w:sz w:val="32"/>
          <w:szCs w:val="32"/>
        </w:rPr>
        <w:t>，扎实推进人代会</w:t>
      </w:r>
      <w:r>
        <w:rPr>
          <w:rFonts w:ascii="Times New Roman" w:hAnsi="Times New Roman" w:eastAsia="方正仿宋简体" w:cs="Times New Roman"/>
          <w:sz w:val="32"/>
          <w:szCs w:val="32"/>
        </w:rPr>
        <w:t>确定的年度计划任务，经济运行</w:t>
      </w:r>
      <w:r>
        <w:rPr>
          <w:rFonts w:hint="eastAsia" w:ascii="Times New Roman" w:hAnsi="Times New Roman" w:eastAsia="方正仿宋简体" w:cs="Times New Roman"/>
          <w:sz w:val="32"/>
          <w:szCs w:val="32"/>
        </w:rPr>
        <w:t>高开稳走</w:t>
      </w:r>
      <w:r>
        <w:rPr>
          <w:rFonts w:ascii="Times New Roman" w:hAnsi="Times New Roman" w:eastAsia="方正仿宋简体" w:cs="Times New Roman"/>
          <w:sz w:val="32"/>
          <w:szCs w:val="32"/>
        </w:rPr>
        <w:t>，社会大局保持稳定。</w:t>
      </w:r>
      <w:bookmarkStart w:id="4" w:name="_GoBack"/>
      <w:bookmarkEnd w:id="4"/>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sz w:val="32"/>
          <w:szCs w:val="32"/>
        </w:rPr>
        <w:t>（一）主要目标完成情况</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2023年列入区人代会主要指标共七大类36项，</w:t>
      </w:r>
      <w:r>
        <w:rPr>
          <w:rFonts w:hint="eastAsia" w:ascii="Times New Roman" w:hAnsi="Times New Roman" w:eastAsia="方正仿宋简体" w:cs="Times New Roman"/>
          <w:sz w:val="32"/>
          <w:szCs w:val="32"/>
        </w:rPr>
        <w:t>除</w:t>
      </w:r>
      <w:r>
        <w:rPr>
          <w:rFonts w:ascii="Times New Roman" w:hAnsi="Times New Roman" w:eastAsia="方正仿宋简体" w:cs="Times New Roman"/>
          <w:sz w:val="32"/>
          <w:szCs w:val="32"/>
        </w:rPr>
        <w:t>9项年度监测指标暂无数据</w:t>
      </w:r>
      <w:r>
        <w:rPr>
          <w:rFonts w:hint="eastAsia" w:ascii="Times New Roman" w:hAnsi="Times New Roman" w:eastAsia="方正仿宋简体" w:cs="Times New Roman"/>
          <w:sz w:val="32"/>
          <w:szCs w:val="32"/>
        </w:rPr>
        <w:t>外</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其余2</w:t>
      </w:r>
      <w:r>
        <w:rPr>
          <w:rFonts w:ascii="Times New Roman" w:hAnsi="Times New Roman" w:eastAsia="方正仿宋简体" w:cs="Times New Roman"/>
          <w:sz w:val="32"/>
          <w:szCs w:val="32"/>
        </w:rPr>
        <w:t>7</w:t>
      </w:r>
      <w:r>
        <w:rPr>
          <w:rFonts w:hint="eastAsia" w:ascii="Times New Roman" w:hAnsi="Times New Roman" w:eastAsia="方正仿宋简体" w:cs="Times New Roman"/>
          <w:sz w:val="32"/>
          <w:szCs w:val="32"/>
        </w:rPr>
        <w:t>项指标中，</w:t>
      </w:r>
      <w:r>
        <w:rPr>
          <w:rFonts w:ascii="Times New Roman" w:hAnsi="Times New Roman" w:eastAsia="方正仿宋简体" w:cs="Times New Roman"/>
          <w:sz w:val="32"/>
          <w:szCs w:val="32"/>
        </w:rPr>
        <w:t>19项</w:t>
      </w:r>
      <w:r>
        <w:rPr>
          <w:rFonts w:hint="eastAsia" w:ascii="Times New Roman" w:hAnsi="Times New Roman" w:eastAsia="方正仿宋简体" w:cs="Times New Roman"/>
          <w:sz w:val="32"/>
          <w:szCs w:val="32"/>
        </w:rPr>
        <w:t>达进度要求</w:t>
      </w:r>
      <w:r>
        <w:rPr>
          <w:rFonts w:ascii="Times New Roman" w:hAnsi="Times New Roman" w:eastAsia="方正仿宋简体" w:cs="Times New Roman"/>
          <w:sz w:val="32"/>
          <w:szCs w:val="32"/>
        </w:rPr>
        <w:t>，受国内外经济形势、宏观政策</w:t>
      </w:r>
      <w:r>
        <w:rPr>
          <w:rFonts w:hint="eastAsia" w:ascii="Times New Roman" w:hAnsi="Times New Roman" w:eastAsia="方正仿宋简体" w:cs="Times New Roman"/>
          <w:sz w:val="32"/>
          <w:szCs w:val="32"/>
        </w:rPr>
        <w:t>及消费信心恢复不足</w:t>
      </w:r>
      <w:r>
        <w:rPr>
          <w:rFonts w:ascii="Times New Roman" w:hAnsi="Times New Roman" w:eastAsia="方正仿宋简体" w:cs="Times New Roman"/>
          <w:sz w:val="32"/>
          <w:szCs w:val="32"/>
        </w:rPr>
        <w:t>等多重因素影响</w:t>
      </w:r>
      <w:r>
        <w:rPr>
          <w:rFonts w:hint="eastAsia" w:ascii="Times New Roman" w:hAnsi="Times New Roman" w:eastAsia="方正仿宋简体" w:cs="Times New Roman"/>
          <w:sz w:val="32"/>
          <w:szCs w:val="32"/>
        </w:rPr>
        <w:t>，地区生产总值、</w:t>
      </w:r>
      <w:r>
        <w:rPr>
          <w:rFonts w:ascii="Times New Roman" w:hAnsi="Times New Roman" w:eastAsia="方正仿宋简体" w:cs="Times New Roman"/>
          <w:sz w:val="32"/>
          <w:szCs w:val="32"/>
        </w:rPr>
        <w:t>社会消费品零售总额</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外贸进出口总额</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实际利用外资</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全体居民人均可支配收入增速</w:t>
      </w:r>
      <w:r>
        <w:rPr>
          <w:rFonts w:hint="eastAsia" w:ascii="Times New Roman" w:hAnsi="Times New Roman" w:eastAsia="方正仿宋简体" w:cs="Times New Roman"/>
          <w:sz w:val="32"/>
          <w:szCs w:val="32"/>
        </w:rPr>
        <w:t>等5项指标</w:t>
      </w:r>
      <w:r>
        <w:rPr>
          <w:rFonts w:ascii="Times New Roman" w:hAnsi="Times New Roman" w:eastAsia="方正仿宋简体" w:cs="Times New Roman"/>
          <w:sz w:val="32"/>
          <w:szCs w:val="32"/>
        </w:rPr>
        <w:t>未达</w:t>
      </w:r>
      <w:r>
        <w:rPr>
          <w:rFonts w:hint="eastAsia" w:ascii="Times New Roman" w:hAnsi="Times New Roman" w:eastAsia="方正仿宋简体" w:cs="Times New Roman"/>
          <w:sz w:val="32"/>
          <w:szCs w:val="32"/>
        </w:rPr>
        <w:t>进度要求；受</w:t>
      </w:r>
      <w:r>
        <w:rPr>
          <w:rFonts w:ascii="Times New Roman" w:hAnsi="Times New Roman" w:eastAsia="方正仿宋简体" w:cs="Times New Roman"/>
          <w:sz w:val="32"/>
          <w:szCs w:val="32"/>
        </w:rPr>
        <w:t>不利气象条件影响</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空气质量达到二级标准以上天数比例</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细颗粒物（PM2.5）浓度</w:t>
      </w:r>
      <w:r>
        <w:rPr>
          <w:rFonts w:hint="eastAsia" w:ascii="Times New Roman" w:hAnsi="Times New Roman" w:eastAsia="方正仿宋简体" w:cs="Times New Roman"/>
          <w:sz w:val="32"/>
          <w:szCs w:val="32"/>
        </w:rPr>
        <w:t>等指标增速出现下滑；因托育机构调整，</w:t>
      </w:r>
      <w:r>
        <w:rPr>
          <w:rFonts w:ascii="Times New Roman" w:hAnsi="Times New Roman" w:eastAsia="方正仿宋简体" w:cs="Times New Roman"/>
          <w:sz w:val="32"/>
          <w:szCs w:val="32"/>
        </w:rPr>
        <w:t>每千人口拥有0-3岁婴幼儿托位数</w:t>
      </w:r>
      <w:r>
        <w:rPr>
          <w:rFonts w:hint="eastAsia" w:ascii="Times New Roman" w:hAnsi="Times New Roman" w:eastAsia="方正仿宋简体" w:cs="Times New Roman"/>
          <w:sz w:val="32"/>
          <w:szCs w:val="32"/>
        </w:rPr>
        <w:t>与目标存在一定差距（</w:t>
      </w:r>
      <w:r>
        <w:rPr>
          <w:rFonts w:hint="eastAsia" w:ascii="方正楷体简体" w:hAnsi="Times New Roman" w:eastAsia="方正楷体简体" w:cs="Times New Roman"/>
          <w:sz w:val="32"/>
          <w:szCs w:val="32"/>
        </w:rPr>
        <w:t>目前已达标</w:t>
      </w:r>
      <w:r>
        <w:rPr>
          <w:rFonts w:hint="eastAsia" w:ascii="Times New Roman" w:hAnsi="Times New Roman" w:eastAsia="方正仿宋简体" w:cs="Times New Roman"/>
          <w:sz w:val="32"/>
          <w:szCs w:val="32"/>
        </w:rPr>
        <w:t>）。</w:t>
      </w:r>
    </w:p>
    <w:p>
      <w:pPr>
        <w:spacing w:line="560" w:lineRule="exact"/>
        <w:ind w:firstLine="640" w:firstLineChars="200"/>
        <w:rPr>
          <w:rFonts w:ascii="Times New Roman" w:hAnsi="Times New Roman" w:eastAsia="方正仿宋简体" w:cs="Times New Roman"/>
          <w:sz w:val="32"/>
          <w:szCs w:val="32"/>
        </w:rPr>
      </w:pPr>
    </w:p>
    <w:p>
      <w:pPr>
        <w:spacing w:line="560" w:lineRule="exact"/>
        <w:ind w:firstLine="640" w:firstLineChars="200"/>
        <w:rPr>
          <w:rFonts w:hint="eastAsia" w:ascii="Times New Roman" w:hAnsi="Times New Roman" w:eastAsia="方正仿宋简体" w:cs="Times New Roman"/>
          <w:sz w:val="32"/>
          <w:szCs w:val="32"/>
        </w:rPr>
      </w:pPr>
    </w:p>
    <w:p>
      <w:pPr>
        <w:spacing w:line="560" w:lineRule="exact"/>
        <w:ind w:firstLine="640" w:firstLineChars="200"/>
        <w:rPr>
          <w:rFonts w:hint="eastAsia" w:ascii="Times New Roman" w:hAnsi="Times New Roman" w:eastAsia="方正仿宋简体" w:cs="Times New Roman"/>
          <w:sz w:val="32"/>
          <w:szCs w:val="32"/>
        </w:rPr>
      </w:pPr>
    </w:p>
    <w:p>
      <w:pPr>
        <w:spacing w:line="560" w:lineRule="exact"/>
        <w:jc w:val="center"/>
        <w:rPr>
          <w:rFonts w:ascii="Times New Roman" w:hAnsi="Times New Roman" w:eastAsia="方正仿宋简体" w:cs="Times New Roman"/>
          <w:sz w:val="32"/>
          <w:szCs w:val="32"/>
        </w:rPr>
      </w:pPr>
      <w:r>
        <w:rPr>
          <w:rFonts w:ascii="Times New Roman" w:hAnsi="Times New Roman" w:eastAsia="方正黑体简体" w:cs="Times New Roman"/>
          <w:sz w:val="28"/>
          <w:szCs w:val="28"/>
        </w:rPr>
        <w:t>2023年上半年主要指标完成情况表</w:t>
      </w:r>
    </w:p>
    <w:tbl>
      <w:tblPr>
        <w:tblStyle w:val="7"/>
        <w:tblW w:w="10290" w:type="dxa"/>
        <w:jc w:val="center"/>
        <w:tblBorders>
          <w:top w:val="double" w:color="auto" w:sz="4" w:space="0"/>
          <w:left w:val="none" w:color="auto" w:sz="0" w:space="0"/>
          <w:bottom w:val="dotted"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7"/>
        <w:gridCol w:w="621"/>
        <w:gridCol w:w="3353"/>
        <w:gridCol w:w="923"/>
        <w:gridCol w:w="1833"/>
        <w:gridCol w:w="791"/>
        <w:gridCol w:w="832"/>
        <w:gridCol w:w="1250"/>
      </w:tblGrid>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blHeader/>
          <w:jc w:val="center"/>
        </w:trPr>
        <w:tc>
          <w:tcPr>
            <w:tcW w:w="687" w:type="dxa"/>
            <w:vMerge w:val="restart"/>
            <w:tcBorders>
              <w:top w:val="double" w:color="auto" w:sz="4" w:space="0"/>
              <w:left w:val="nil"/>
              <w:bottom w:val="dotted" w:color="auto" w:sz="4" w:space="0"/>
              <w:right w:val="dotted" w:color="auto" w:sz="4" w:space="0"/>
            </w:tcBorders>
            <w:vAlign w:val="center"/>
          </w:tcPr>
          <w:p>
            <w:pPr>
              <w:spacing w:line="240" w:lineRule="exact"/>
              <w:rPr>
                <w:rFonts w:ascii="Times New Roman" w:hAnsi="Times New Roman" w:eastAsia="方正黑体简体" w:cs="Times New Roman"/>
                <w:sz w:val="20"/>
                <w:szCs w:val="20"/>
              </w:rPr>
            </w:pPr>
            <w:r>
              <w:rPr>
                <w:rFonts w:ascii="Times New Roman" w:hAnsi="Times New Roman" w:eastAsia="方正黑体简体" w:cs="Times New Roman"/>
                <w:sz w:val="20"/>
                <w:szCs w:val="20"/>
              </w:rPr>
              <w:t>类别</w:t>
            </w:r>
          </w:p>
        </w:tc>
        <w:tc>
          <w:tcPr>
            <w:tcW w:w="621" w:type="dxa"/>
            <w:vMerge w:val="restart"/>
            <w:tcBorders>
              <w:top w:val="double"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序号</w:t>
            </w:r>
          </w:p>
        </w:tc>
        <w:tc>
          <w:tcPr>
            <w:tcW w:w="3353" w:type="dxa"/>
            <w:vMerge w:val="restart"/>
            <w:tcBorders>
              <w:top w:val="double"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指标名称</w:t>
            </w:r>
          </w:p>
        </w:tc>
        <w:tc>
          <w:tcPr>
            <w:tcW w:w="923" w:type="dxa"/>
            <w:vMerge w:val="restart"/>
            <w:tcBorders>
              <w:top w:val="double"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单位</w:t>
            </w:r>
          </w:p>
        </w:tc>
        <w:tc>
          <w:tcPr>
            <w:tcW w:w="1833" w:type="dxa"/>
            <w:vMerge w:val="restart"/>
            <w:tcBorders>
              <w:top w:val="double"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年度计划</w:t>
            </w:r>
          </w:p>
        </w:tc>
        <w:tc>
          <w:tcPr>
            <w:tcW w:w="2873" w:type="dxa"/>
            <w:gridSpan w:val="3"/>
            <w:tcBorders>
              <w:top w:val="double"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上半年完成情况</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blHeader/>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rPr>
                <w:rFonts w:ascii="Times New Roman" w:hAnsi="Times New Roman" w:eastAsia="方正黑体简体" w:cs="Times New Roman"/>
                <w:sz w:val="20"/>
                <w:szCs w:val="20"/>
              </w:rPr>
            </w:pPr>
          </w:p>
        </w:tc>
        <w:tc>
          <w:tcPr>
            <w:tcW w:w="621" w:type="dxa"/>
            <w:vMerge w:val="continue"/>
            <w:tcBorders>
              <w:top w:val="dotted" w:color="auto" w:sz="4" w:space="0"/>
              <w:left w:val="dotted" w:color="auto" w:sz="4" w:space="0"/>
              <w:bottom w:val="dotted" w:color="auto" w:sz="4" w:space="0"/>
              <w:right w:val="dotted" w:color="auto" w:sz="4" w:space="0"/>
            </w:tcBorders>
          </w:tcPr>
          <w:p>
            <w:pPr>
              <w:spacing w:line="240" w:lineRule="exact"/>
              <w:jc w:val="center"/>
              <w:rPr>
                <w:rFonts w:ascii="Times New Roman" w:hAnsi="Times New Roman" w:eastAsia="方正黑体简体" w:cs="Times New Roman"/>
                <w:sz w:val="20"/>
                <w:szCs w:val="20"/>
              </w:rPr>
            </w:pPr>
          </w:p>
        </w:tc>
        <w:tc>
          <w:tcPr>
            <w:tcW w:w="3353" w:type="dxa"/>
            <w:vMerge w:val="continue"/>
            <w:tcBorders>
              <w:top w:val="dotted" w:color="auto" w:sz="4" w:space="0"/>
              <w:left w:val="dotted" w:color="auto" w:sz="4" w:space="0"/>
              <w:bottom w:val="dotted" w:color="auto" w:sz="4" w:space="0"/>
              <w:right w:val="dotted" w:color="auto" w:sz="4" w:space="0"/>
            </w:tcBorders>
          </w:tcPr>
          <w:p>
            <w:pPr>
              <w:spacing w:line="240" w:lineRule="exact"/>
              <w:rPr>
                <w:rFonts w:ascii="Times New Roman" w:hAnsi="Times New Roman" w:eastAsia="方正黑体简体" w:cs="Times New Roman"/>
                <w:sz w:val="20"/>
                <w:szCs w:val="20"/>
              </w:rPr>
            </w:pPr>
          </w:p>
        </w:tc>
        <w:tc>
          <w:tcPr>
            <w:tcW w:w="923" w:type="dxa"/>
            <w:vMerge w:val="continue"/>
            <w:tcBorders>
              <w:top w:val="dotted" w:color="auto" w:sz="4" w:space="0"/>
              <w:left w:val="dotted" w:color="auto" w:sz="4" w:space="0"/>
              <w:bottom w:val="dotted" w:color="auto" w:sz="4" w:space="0"/>
              <w:right w:val="dotted" w:color="auto" w:sz="4" w:space="0"/>
            </w:tcBorders>
          </w:tcPr>
          <w:p>
            <w:pPr>
              <w:spacing w:line="240" w:lineRule="exact"/>
              <w:rPr>
                <w:rFonts w:ascii="Times New Roman" w:hAnsi="Times New Roman" w:eastAsia="方正黑体简体" w:cs="Times New Roman"/>
                <w:sz w:val="20"/>
                <w:szCs w:val="20"/>
              </w:rPr>
            </w:pPr>
          </w:p>
        </w:tc>
        <w:tc>
          <w:tcPr>
            <w:tcW w:w="1833" w:type="dxa"/>
            <w:vMerge w:val="continue"/>
            <w:tcBorders>
              <w:top w:val="dotted" w:color="auto" w:sz="4" w:space="0"/>
              <w:left w:val="dotted" w:color="auto" w:sz="4" w:space="0"/>
              <w:bottom w:val="dotted" w:color="auto" w:sz="4" w:space="0"/>
              <w:right w:val="dotted" w:color="auto" w:sz="4" w:space="0"/>
            </w:tcBorders>
          </w:tcPr>
          <w:p>
            <w:pPr>
              <w:spacing w:line="240" w:lineRule="exact"/>
              <w:rPr>
                <w:rFonts w:ascii="Times New Roman" w:hAnsi="Times New Roman" w:eastAsia="方正黑体简体" w:cs="Times New Roman"/>
                <w:sz w:val="20"/>
                <w:szCs w:val="20"/>
              </w:rPr>
            </w:pP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实绩</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增幅（%）</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是否</w:t>
            </w:r>
          </w:p>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达</w:t>
            </w:r>
            <w:r>
              <w:rPr>
                <w:rFonts w:hint="eastAsia" w:ascii="Times New Roman" w:hAnsi="Times New Roman" w:eastAsia="方正黑体简体" w:cs="Times New Roman"/>
                <w:sz w:val="20"/>
                <w:szCs w:val="20"/>
              </w:rPr>
              <w:t>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687" w:type="dxa"/>
            <w:vMerge w:val="restart"/>
            <w:tcBorders>
              <w:top w:val="dotted" w:color="auto" w:sz="4" w:space="0"/>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经济综合实力</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地区生产总值</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亿元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增长6%以上</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284.04</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5</w:t>
            </w:r>
            <w:r>
              <w:rPr>
                <w:rFonts w:ascii="Times New Roman" w:hAnsi="Times New Roman" w:eastAsia="方正仿宋简体" w:cs="Times New Roman"/>
                <w:sz w:val="20"/>
                <w:szCs w:val="20"/>
              </w:rPr>
              <w:t>.6</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未达</w:t>
            </w:r>
            <w:r>
              <w:rPr>
                <w:rFonts w:hint="eastAsia" w:ascii="Times New Roman" w:hAnsi="Times New Roman" w:eastAsia="方正仿宋简体" w:cs="Times New Roman"/>
                <w:sz w:val="20"/>
                <w:szCs w:val="20"/>
              </w:rPr>
              <w:t>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exact"/>
          <w:jc w:val="center"/>
        </w:trPr>
        <w:tc>
          <w:tcPr>
            <w:tcW w:w="687" w:type="dxa"/>
            <w:vMerge w:val="continue"/>
            <w:tcBorders>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制造业增加值占地区生产总值比重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30以上</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3</w:t>
            </w:r>
            <w:r>
              <w:rPr>
                <w:rFonts w:ascii="Times New Roman" w:hAnsi="Times New Roman" w:eastAsia="方正仿宋简体" w:cs="Times New Roman"/>
                <w:sz w:val="20"/>
                <w:szCs w:val="20"/>
              </w:rPr>
              <w:t>0.1</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达进度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687" w:type="dxa"/>
            <w:vMerge w:val="continue"/>
            <w:tcBorders>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全社会固定资产投资</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亿元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增长8%</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10.5</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达进度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jc w:val="center"/>
        </w:trPr>
        <w:tc>
          <w:tcPr>
            <w:tcW w:w="687" w:type="dxa"/>
            <w:vMerge w:val="continue"/>
            <w:tcBorders>
              <w:left w:val="nil"/>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4</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社会消费品零售总额</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亿元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增长6%</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1</w:t>
            </w:r>
            <w:r>
              <w:rPr>
                <w:rFonts w:ascii="Times New Roman" w:hAnsi="Times New Roman" w:eastAsia="方正仿宋简体" w:cs="Times New Roman"/>
                <w:sz w:val="20"/>
                <w:szCs w:val="20"/>
              </w:rPr>
              <w:t>71.92</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3</w:t>
            </w:r>
            <w:r>
              <w:rPr>
                <w:rFonts w:ascii="Times New Roman" w:hAnsi="Times New Roman" w:eastAsia="方正仿宋简体" w:cs="Times New Roman"/>
                <w:sz w:val="20"/>
                <w:szCs w:val="20"/>
              </w:rPr>
              <w:t>.2</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未达</w:t>
            </w:r>
            <w:r>
              <w:rPr>
                <w:rFonts w:hint="eastAsia" w:ascii="Times New Roman" w:hAnsi="Times New Roman" w:eastAsia="方正仿宋简体" w:cs="Times New Roman"/>
                <w:sz w:val="20"/>
                <w:szCs w:val="20"/>
              </w:rPr>
              <w:t>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exact"/>
          <w:jc w:val="center"/>
        </w:trPr>
        <w:tc>
          <w:tcPr>
            <w:tcW w:w="687" w:type="dxa"/>
            <w:vMerge w:val="continue"/>
            <w:tcBorders>
              <w:left w:val="nil"/>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5</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外贸进出口总额</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亿元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增长3.5%</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3</w:t>
            </w:r>
            <w:r>
              <w:rPr>
                <w:rFonts w:ascii="Times New Roman" w:hAnsi="Times New Roman" w:eastAsia="方正仿宋简体" w:cs="Times New Roman"/>
                <w:sz w:val="20"/>
                <w:szCs w:val="20"/>
              </w:rPr>
              <w:t>5</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w:t>
            </w:r>
            <w:r>
              <w:rPr>
                <w:rFonts w:ascii="Times New Roman" w:hAnsi="Times New Roman" w:eastAsia="方正仿宋简体" w:cs="Times New Roman"/>
                <w:sz w:val="20"/>
                <w:szCs w:val="20"/>
              </w:rPr>
              <w:t>22.4</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未达</w:t>
            </w:r>
            <w:r>
              <w:rPr>
                <w:rFonts w:hint="eastAsia" w:ascii="Times New Roman" w:hAnsi="Times New Roman" w:eastAsia="方正仿宋简体" w:cs="Times New Roman"/>
                <w:sz w:val="20"/>
                <w:szCs w:val="20"/>
              </w:rPr>
              <w:t>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exact"/>
          <w:jc w:val="center"/>
        </w:trPr>
        <w:tc>
          <w:tcPr>
            <w:tcW w:w="687" w:type="dxa"/>
            <w:vMerge w:val="continue"/>
            <w:tcBorders>
              <w:left w:val="nil"/>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6</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实际利用外资</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万美元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27000</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2023</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未达</w:t>
            </w:r>
            <w:r>
              <w:rPr>
                <w:rFonts w:hint="eastAsia" w:ascii="Times New Roman" w:hAnsi="Times New Roman" w:eastAsia="方正仿宋简体" w:cs="Times New Roman"/>
                <w:sz w:val="20"/>
                <w:szCs w:val="20"/>
              </w:rPr>
              <w:t>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exact"/>
          <w:jc w:val="center"/>
        </w:trPr>
        <w:tc>
          <w:tcPr>
            <w:tcW w:w="687" w:type="dxa"/>
            <w:vMerge w:val="continue"/>
            <w:tcBorders>
              <w:left w:val="nil"/>
              <w:bottom w:val="dotted" w:color="auto" w:sz="4" w:space="0"/>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7</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一般公共预算收入</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亿元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增长8%左右</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26.7</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14</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达进度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87" w:type="dxa"/>
            <w:vMerge w:val="restart"/>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现代产业体系</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8</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高新技术产业产值占规模以上工业产值比重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力争56</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5</w:t>
            </w:r>
            <w:r>
              <w:rPr>
                <w:rFonts w:ascii="Times New Roman" w:hAnsi="Times New Roman" w:eastAsia="方正仿宋简体" w:cs="Times New Roman"/>
                <w:sz w:val="20"/>
                <w:szCs w:val="20"/>
              </w:rPr>
              <w:t>9.97</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达进度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净增高新技术企业数</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家</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达市定目标</w:t>
            </w:r>
          </w:p>
        </w:tc>
        <w:tc>
          <w:tcPr>
            <w:tcW w:w="2873" w:type="dxa"/>
            <w:gridSpan w:val="3"/>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年度指标</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10</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工业战略性新兴产业总产值占工业总产值比重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38以上</w:t>
            </w:r>
          </w:p>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力争40</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5</w:t>
            </w:r>
            <w:r>
              <w:rPr>
                <w:rFonts w:ascii="Times New Roman" w:hAnsi="Times New Roman" w:eastAsia="方正仿宋简体" w:cs="Times New Roman"/>
                <w:sz w:val="20"/>
                <w:szCs w:val="20"/>
              </w:rPr>
              <w:t>0.1</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达进度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11</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制造业智能化改造和数字化转型改造企业</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家</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100</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1</w:t>
            </w:r>
            <w:r>
              <w:rPr>
                <w:rFonts w:ascii="Times New Roman" w:hAnsi="Times New Roman" w:eastAsia="方正仿宋简体" w:cs="Times New Roman"/>
                <w:sz w:val="20"/>
                <w:szCs w:val="20"/>
              </w:rPr>
              <w:t>06</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达进度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exact"/>
          <w:jc w:val="center"/>
        </w:trPr>
        <w:tc>
          <w:tcPr>
            <w:tcW w:w="687" w:type="dxa"/>
            <w:vMerge w:val="continue"/>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12</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数字经济核心产业增加值占地区生产总值比重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达市定目标</w:t>
            </w:r>
          </w:p>
        </w:tc>
        <w:tc>
          <w:tcPr>
            <w:tcW w:w="2873" w:type="dxa"/>
            <w:gridSpan w:val="3"/>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年度指标</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jc w:val="center"/>
        </w:trPr>
        <w:tc>
          <w:tcPr>
            <w:tcW w:w="687" w:type="dxa"/>
            <w:vMerge w:val="restart"/>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创新人才支撑</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13</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全社会研发经费支出占地区生产总值比重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2.6以上</w:t>
            </w:r>
          </w:p>
        </w:tc>
        <w:tc>
          <w:tcPr>
            <w:tcW w:w="2873" w:type="dxa"/>
            <w:gridSpan w:val="3"/>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年度指标</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exact"/>
          <w:jc w:val="center"/>
        </w:trPr>
        <w:tc>
          <w:tcPr>
            <w:tcW w:w="687" w:type="dxa"/>
            <w:vMerge w:val="continue"/>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14</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有效发明专利拥有量</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件</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达市定目标</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1</w:t>
            </w:r>
            <w:r>
              <w:rPr>
                <w:rFonts w:ascii="Times New Roman" w:hAnsi="Times New Roman" w:eastAsia="方正仿宋简体" w:cs="Times New Roman"/>
                <w:sz w:val="20"/>
                <w:szCs w:val="20"/>
              </w:rPr>
              <w:t>091</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达进度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exact"/>
          <w:jc w:val="center"/>
        </w:trPr>
        <w:tc>
          <w:tcPr>
            <w:tcW w:w="687" w:type="dxa"/>
            <w:vMerge w:val="continue"/>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15</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新增取得高级工以上职业资格证书或职业技能等级证书</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人次</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900</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8</w:t>
            </w:r>
            <w:r>
              <w:rPr>
                <w:rFonts w:ascii="Times New Roman" w:hAnsi="Times New Roman" w:eastAsia="方正仿宋简体" w:cs="Times New Roman"/>
                <w:sz w:val="20"/>
                <w:szCs w:val="20"/>
              </w:rPr>
              <w:t>53</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达进度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jc w:val="center"/>
        </w:trPr>
        <w:tc>
          <w:tcPr>
            <w:tcW w:w="687" w:type="dxa"/>
            <w:vMerge w:val="continue"/>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16</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文化产业增加值占地区生产总值比重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提高0.1个百分点</w:t>
            </w:r>
          </w:p>
        </w:tc>
        <w:tc>
          <w:tcPr>
            <w:tcW w:w="2873" w:type="dxa"/>
            <w:gridSpan w:val="3"/>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年度指标</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exact"/>
          <w:jc w:val="center"/>
        </w:trPr>
        <w:tc>
          <w:tcPr>
            <w:tcW w:w="687" w:type="dxa"/>
            <w:vMerge w:val="restart"/>
            <w:tcBorders>
              <w:top w:val="dotted" w:color="auto" w:sz="4" w:space="0"/>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公共服务能力</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17</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城乡基本养老保险参保缴费率</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90以上</w:t>
            </w:r>
          </w:p>
        </w:tc>
        <w:tc>
          <w:tcPr>
            <w:tcW w:w="2873" w:type="dxa"/>
            <w:gridSpan w:val="3"/>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年度指标</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687" w:type="dxa"/>
            <w:vMerge w:val="continue"/>
            <w:tcBorders>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18</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城乡基本医疗保险参保率</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99以上</w:t>
            </w:r>
          </w:p>
        </w:tc>
        <w:tc>
          <w:tcPr>
            <w:tcW w:w="2873" w:type="dxa"/>
            <w:gridSpan w:val="3"/>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年度指标</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exact"/>
          <w:jc w:val="center"/>
        </w:trPr>
        <w:tc>
          <w:tcPr>
            <w:tcW w:w="687" w:type="dxa"/>
            <w:vMerge w:val="continue"/>
            <w:tcBorders>
              <w:left w:val="nil"/>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19</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新开工改造城镇老旧小区</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户</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375</w:t>
            </w:r>
          </w:p>
        </w:tc>
        <w:tc>
          <w:tcPr>
            <w:tcW w:w="2873" w:type="dxa"/>
            <w:gridSpan w:val="3"/>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年度指标</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exact"/>
          <w:jc w:val="center"/>
        </w:trPr>
        <w:tc>
          <w:tcPr>
            <w:tcW w:w="687" w:type="dxa"/>
            <w:vMerge w:val="continue"/>
            <w:tcBorders>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20</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每千人口拥有0-3岁婴幼儿托位数</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个</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3.3</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2</w:t>
            </w:r>
            <w:r>
              <w:rPr>
                <w:rFonts w:ascii="Times New Roman" w:hAnsi="Times New Roman" w:eastAsia="方正仿宋简体" w:cs="Times New Roman"/>
                <w:sz w:val="20"/>
                <w:szCs w:val="20"/>
              </w:rPr>
              <w:t>.9</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未达</w:t>
            </w:r>
            <w:r>
              <w:rPr>
                <w:rFonts w:hint="eastAsia" w:ascii="Times New Roman" w:hAnsi="Times New Roman" w:eastAsia="方正仿宋简体" w:cs="Times New Roman"/>
                <w:sz w:val="20"/>
                <w:szCs w:val="20"/>
              </w:rPr>
              <w:t>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exact"/>
          <w:jc w:val="center"/>
        </w:trPr>
        <w:tc>
          <w:tcPr>
            <w:tcW w:w="687" w:type="dxa"/>
            <w:vMerge w:val="continue"/>
            <w:tcBorders>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21</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每千人执业（助理）医师数</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人</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2.54</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2</w:t>
            </w:r>
            <w:r>
              <w:rPr>
                <w:rFonts w:ascii="Times New Roman" w:hAnsi="Times New Roman" w:eastAsia="方正仿宋简体" w:cs="Times New Roman"/>
                <w:sz w:val="20"/>
                <w:szCs w:val="20"/>
              </w:rPr>
              <w:t>.56</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达进度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jc w:val="center"/>
        </w:trPr>
        <w:tc>
          <w:tcPr>
            <w:tcW w:w="687" w:type="dxa"/>
            <w:vMerge w:val="restart"/>
            <w:tcBorders>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公共服务能力</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22</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每千人口医疗卫生机构床位数</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张</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3.8</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3</w:t>
            </w:r>
            <w:r>
              <w:rPr>
                <w:rFonts w:ascii="Times New Roman" w:hAnsi="Times New Roman" w:eastAsia="方正仿宋简体" w:cs="Times New Roman"/>
                <w:sz w:val="20"/>
                <w:szCs w:val="20"/>
              </w:rPr>
              <w:t>.8</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达进度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jc w:val="center"/>
        </w:trPr>
        <w:tc>
          <w:tcPr>
            <w:tcW w:w="687" w:type="dxa"/>
            <w:vMerge w:val="continue"/>
            <w:tcBorders>
              <w:left w:val="nil"/>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23</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接受上门服务的居家老年人数占比</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25</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2</w:t>
            </w:r>
            <w:r>
              <w:rPr>
                <w:rFonts w:ascii="Times New Roman" w:hAnsi="Times New Roman" w:eastAsia="方正仿宋简体" w:cs="Times New Roman"/>
                <w:sz w:val="20"/>
                <w:szCs w:val="20"/>
              </w:rPr>
              <w:t>5</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达进度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exact"/>
          <w:jc w:val="center"/>
        </w:trPr>
        <w:tc>
          <w:tcPr>
            <w:tcW w:w="687" w:type="dxa"/>
            <w:vMerge w:val="continue"/>
            <w:tcBorders>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24</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普惠性幼儿园覆盖率</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97以上</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1</w:t>
            </w:r>
            <w:r>
              <w:rPr>
                <w:rFonts w:ascii="Times New Roman" w:hAnsi="Times New Roman" w:eastAsia="方正仿宋简体" w:cs="Times New Roman"/>
                <w:sz w:val="20"/>
                <w:szCs w:val="20"/>
              </w:rPr>
              <w:t>00</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达进度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jc w:val="center"/>
        </w:trPr>
        <w:tc>
          <w:tcPr>
            <w:tcW w:w="687" w:type="dxa"/>
            <w:vMerge w:val="restart"/>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人民共同富裕</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25</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全体居民人均可支配收入增速</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高于GDP增速</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2</w:t>
            </w:r>
            <w:r>
              <w:rPr>
                <w:rFonts w:ascii="Times New Roman" w:hAnsi="Times New Roman" w:eastAsia="方正仿宋简体" w:cs="Times New Roman"/>
                <w:sz w:val="20"/>
                <w:szCs w:val="20"/>
              </w:rPr>
              <w:t>9175</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4</w:t>
            </w:r>
            <w:r>
              <w:rPr>
                <w:rFonts w:ascii="Times New Roman" w:hAnsi="Times New Roman" w:eastAsia="方正仿宋简体" w:cs="Times New Roman"/>
                <w:sz w:val="20"/>
                <w:szCs w:val="20"/>
              </w:rPr>
              <w:t>.7</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未达</w:t>
            </w:r>
            <w:r>
              <w:rPr>
                <w:rFonts w:hint="eastAsia" w:ascii="Times New Roman" w:hAnsi="Times New Roman" w:eastAsia="方正仿宋简体" w:cs="Times New Roman"/>
                <w:sz w:val="20"/>
                <w:szCs w:val="20"/>
              </w:rPr>
              <w:t>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26</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城镇新增就业</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人</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4000</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3886</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达进度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exact"/>
          <w:jc w:val="center"/>
        </w:trPr>
        <w:tc>
          <w:tcPr>
            <w:tcW w:w="687" w:type="dxa"/>
            <w:vMerge w:val="continue"/>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27</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城镇调查失业率</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省定标准以内</w:t>
            </w:r>
          </w:p>
        </w:tc>
        <w:tc>
          <w:tcPr>
            <w:tcW w:w="2873" w:type="dxa"/>
            <w:gridSpan w:val="3"/>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年度指标</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687" w:type="dxa"/>
            <w:vMerge w:val="restart"/>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绿色低碳发展</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28</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地表水省考断面达到或好于Ⅲ类水质比例</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napToGrid w:val="0"/>
                <w:sz w:val="20"/>
                <w:szCs w:val="20"/>
              </w:rPr>
            </w:pPr>
            <w:r>
              <w:rPr>
                <w:rFonts w:ascii="Times New Roman" w:hAnsi="Times New Roman" w:eastAsia="方正仿宋简体" w:cs="Times New Roman"/>
                <w:snapToGrid w:val="0"/>
                <w:sz w:val="20"/>
                <w:szCs w:val="20"/>
              </w:rPr>
              <w:t>达市定目标</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1</w:t>
            </w:r>
            <w:r>
              <w:rPr>
                <w:rFonts w:ascii="Times New Roman" w:hAnsi="Times New Roman" w:eastAsia="方正仿宋简体" w:cs="Times New Roman"/>
                <w:sz w:val="20"/>
                <w:szCs w:val="20"/>
              </w:rPr>
              <w:t>00</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达进度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exact"/>
          <w:jc w:val="center"/>
        </w:trPr>
        <w:tc>
          <w:tcPr>
            <w:tcW w:w="687" w:type="dxa"/>
            <w:vMerge w:val="continue"/>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29</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空气质量达到二级标准以上天数比例</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napToGrid w:val="0"/>
                <w:sz w:val="20"/>
                <w:szCs w:val="20"/>
              </w:rPr>
              <w:t>达市定目标</w:t>
            </w:r>
          </w:p>
        </w:tc>
        <w:tc>
          <w:tcPr>
            <w:tcW w:w="791" w:type="dxa"/>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7</w:t>
            </w:r>
            <w:r>
              <w:rPr>
                <w:rFonts w:ascii="Times New Roman" w:hAnsi="Times New Roman" w:eastAsia="方正仿宋简体" w:cs="Times New Roman"/>
                <w:sz w:val="20"/>
                <w:szCs w:val="20"/>
              </w:rPr>
              <w:t>6.8</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w:t>
            </w:r>
            <w:r>
              <w:rPr>
                <w:rFonts w:ascii="Times New Roman" w:hAnsi="Times New Roman" w:eastAsia="方正仿宋简体" w:cs="Times New Roman"/>
                <w:sz w:val="20"/>
                <w:szCs w:val="20"/>
              </w:rPr>
              <w:t>1.1</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未达</w:t>
            </w:r>
            <w:r>
              <w:rPr>
                <w:rFonts w:hint="eastAsia" w:ascii="Times New Roman" w:hAnsi="Times New Roman" w:eastAsia="方正仿宋简体" w:cs="Times New Roman"/>
                <w:sz w:val="20"/>
                <w:szCs w:val="20"/>
              </w:rPr>
              <w:t>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30</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单位GDP二氧化碳排放量降低</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napToGrid w:val="0"/>
                <w:sz w:val="20"/>
                <w:szCs w:val="20"/>
              </w:rPr>
              <w:t>达市定目标</w:t>
            </w:r>
          </w:p>
        </w:tc>
        <w:tc>
          <w:tcPr>
            <w:tcW w:w="2873" w:type="dxa"/>
            <w:gridSpan w:val="3"/>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年度指标</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31</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细颗粒物（PM</w:t>
            </w:r>
            <w:r>
              <w:rPr>
                <w:rFonts w:ascii="Times New Roman" w:hAnsi="Times New Roman" w:eastAsia="方正仿宋简体" w:cs="Times New Roman"/>
                <w:sz w:val="20"/>
                <w:szCs w:val="20"/>
                <w:vertAlign w:val="subscript"/>
              </w:rPr>
              <w:t>2.5</w:t>
            </w:r>
            <w:r>
              <w:rPr>
                <w:rFonts w:ascii="Times New Roman" w:hAnsi="Times New Roman" w:eastAsia="方正仿宋简体" w:cs="Times New Roman"/>
                <w:sz w:val="20"/>
                <w:szCs w:val="20"/>
              </w:rPr>
              <w:t>）浓度</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napToGrid w:val="0"/>
                <w:sz w:val="20"/>
                <w:szCs w:val="20"/>
              </w:rPr>
              <w:t>达市定目标</w:t>
            </w:r>
          </w:p>
        </w:tc>
        <w:tc>
          <w:tcPr>
            <w:tcW w:w="791" w:type="dxa"/>
            <w:tcBorders>
              <w:top w:val="dotted" w:color="auto" w:sz="4" w:space="0"/>
              <w:left w:val="dotted" w:color="auto" w:sz="4" w:space="0"/>
              <w:bottom w:val="dotted" w:color="auto" w:sz="4" w:space="0"/>
              <w:right w:val="dotted" w:color="auto" w:sz="4" w:space="0"/>
            </w:tcBorders>
            <w:vAlign w:val="center"/>
          </w:tcPr>
          <w:p>
            <w:pPr>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2</w:t>
            </w:r>
            <w:r>
              <w:rPr>
                <w:rFonts w:ascii="Times New Roman" w:hAnsi="Times New Roman" w:eastAsia="方正仿宋简体" w:cs="Times New Roman"/>
                <w:sz w:val="20"/>
                <w:szCs w:val="20"/>
              </w:rPr>
              <w:t>9.1</w:t>
            </w:r>
          </w:p>
        </w:tc>
        <w:tc>
          <w:tcPr>
            <w:tcW w:w="832" w:type="dxa"/>
            <w:tcBorders>
              <w:top w:val="dotted" w:color="auto" w:sz="4" w:space="0"/>
              <w:left w:val="dotted" w:color="auto" w:sz="4" w:space="0"/>
              <w:bottom w:val="dotted" w:color="auto" w:sz="4" w:space="0"/>
              <w:right w:val="dotted" w:color="auto" w:sz="4" w:space="0"/>
            </w:tcBorders>
            <w:vAlign w:val="center"/>
          </w:tcPr>
          <w:p>
            <w:pPr>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w:t>
            </w:r>
            <w:r>
              <w:rPr>
                <w:rFonts w:ascii="Times New Roman" w:hAnsi="Times New Roman" w:eastAsia="方正仿宋简体" w:cs="Times New Roman"/>
                <w:sz w:val="20"/>
                <w:szCs w:val="20"/>
              </w:rPr>
              <w:t>6.4</w:t>
            </w:r>
          </w:p>
        </w:tc>
        <w:tc>
          <w:tcPr>
            <w:tcW w:w="1250" w:type="dxa"/>
            <w:tcBorders>
              <w:top w:val="dotted" w:color="auto" w:sz="4" w:space="0"/>
              <w:left w:val="dotted" w:color="auto" w:sz="4" w:space="0"/>
              <w:bottom w:val="dotted" w:color="auto" w:sz="4" w:space="0"/>
              <w:right w:val="nil"/>
            </w:tcBorders>
            <w:vAlign w:val="center"/>
          </w:tcPr>
          <w:p>
            <w:pPr>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未达</w:t>
            </w:r>
            <w:r>
              <w:rPr>
                <w:rFonts w:hint="eastAsia" w:ascii="Times New Roman" w:hAnsi="Times New Roman" w:eastAsia="方正仿宋简体" w:cs="Times New Roman"/>
                <w:sz w:val="20"/>
                <w:szCs w:val="20"/>
              </w:rPr>
              <w:t>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exact"/>
          <w:jc w:val="center"/>
        </w:trPr>
        <w:tc>
          <w:tcPr>
            <w:tcW w:w="687" w:type="dxa"/>
            <w:vMerge w:val="continue"/>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32</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单位工业增加值能耗下降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napToGrid w:val="0"/>
                <w:sz w:val="20"/>
                <w:szCs w:val="20"/>
              </w:rPr>
            </w:pPr>
            <w:r>
              <w:rPr>
                <w:rFonts w:ascii="Times New Roman" w:hAnsi="Times New Roman" w:eastAsia="方正仿宋简体" w:cs="Times New Roman"/>
                <w:snapToGrid w:val="0"/>
                <w:sz w:val="20"/>
                <w:szCs w:val="20"/>
              </w:rPr>
              <w:t>达市定目标</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3</w:t>
            </w:r>
            <w:r>
              <w:rPr>
                <w:rFonts w:ascii="Times New Roman" w:hAnsi="Times New Roman" w:eastAsia="方正仿宋简体" w:cs="Times New Roman"/>
                <w:sz w:val="20"/>
                <w:szCs w:val="20"/>
              </w:rPr>
              <w:t>.42</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达进度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33</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单位GDP建设用地使用面积</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公顷/亿元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napToGrid w:val="0"/>
                <w:sz w:val="20"/>
                <w:szCs w:val="20"/>
              </w:rPr>
            </w:pPr>
            <w:r>
              <w:rPr>
                <w:rFonts w:ascii="Times New Roman" w:hAnsi="Times New Roman" w:eastAsia="方正仿宋简体" w:cs="Times New Roman"/>
                <w:snapToGrid w:val="0"/>
                <w:sz w:val="20"/>
                <w:szCs w:val="20"/>
              </w:rPr>
              <w:t>持续下降</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88.19</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-5.4</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达进度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exact"/>
          <w:jc w:val="center"/>
        </w:trPr>
        <w:tc>
          <w:tcPr>
            <w:tcW w:w="687" w:type="dxa"/>
            <w:vMerge w:val="restart"/>
            <w:tcBorders>
              <w:top w:val="dotted" w:color="auto" w:sz="4" w:space="0"/>
              <w:left w:val="nil"/>
              <w:bottom w:val="double"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安全保障水平</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34</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耕地保有量</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万公顷</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napToGrid w:val="0"/>
                <w:sz w:val="20"/>
                <w:szCs w:val="20"/>
              </w:rPr>
            </w:pPr>
            <w:r>
              <w:rPr>
                <w:rFonts w:ascii="Times New Roman" w:hAnsi="Times New Roman" w:eastAsia="方正仿宋简体" w:cs="Times New Roman"/>
                <w:snapToGrid w:val="0"/>
                <w:sz w:val="20"/>
                <w:szCs w:val="20"/>
              </w:rPr>
              <w:t>5.16</w:t>
            </w:r>
          </w:p>
        </w:tc>
        <w:tc>
          <w:tcPr>
            <w:tcW w:w="79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5</w:t>
            </w:r>
            <w:r>
              <w:rPr>
                <w:rFonts w:ascii="Times New Roman" w:hAnsi="Times New Roman" w:eastAsia="方正仿宋简体" w:cs="Times New Roman"/>
                <w:sz w:val="20"/>
                <w:szCs w:val="20"/>
              </w:rPr>
              <w:t>.19</w:t>
            </w:r>
          </w:p>
        </w:tc>
        <w:tc>
          <w:tcPr>
            <w:tcW w:w="832"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w:t>
            </w:r>
          </w:p>
        </w:tc>
        <w:tc>
          <w:tcPr>
            <w:tcW w:w="1250"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达进度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exact"/>
          <w:jc w:val="center"/>
        </w:trPr>
        <w:tc>
          <w:tcPr>
            <w:tcW w:w="687" w:type="dxa"/>
            <w:vMerge w:val="continue"/>
            <w:tcBorders>
              <w:top w:val="dotted" w:color="auto" w:sz="4" w:space="0"/>
              <w:left w:val="nil"/>
              <w:bottom w:val="double" w:color="auto" w:sz="4" w:space="0"/>
              <w:right w:val="dotted" w:color="auto" w:sz="4" w:space="0"/>
            </w:tcBorders>
          </w:tcPr>
          <w:p>
            <w:pPr>
              <w:spacing w:line="240" w:lineRule="exact"/>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35</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粮食综合生产能力</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napToGrid w:val="0"/>
                <w:sz w:val="20"/>
                <w:szCs w:val="20"/>
              </w:rPr>
            </w:pPr>
            <w:r>
              <w:rPr>
                <w:rFonts w:ascii="Times New Roman" w:hAnsi="Times New Roman" w:eastAsia="方正仿宋简体" w:cs="Times New Roman"/>
                <w:snapToGrid w:val="0"/>
                <w:sz w:val="20"/>
                <w:szCs w:val="20"/>
              </w:rPr>
              <w:t>达市考核目标</w:t>
            </w:r>
          </w:p>
        </w:tc>
        <w:tc>
          <w:tcPr>
            <w:tcW w:w="2873" w:type="dxa"/>
            <w:gridSpan w:val="3"/>
            <w:tcBorders>
              <w:top w:val="dotted" w:color="auto" w:sz="4" w:space="0"/>
              <w:left w:val="dotted" w:color="auto" w:sz="4" w:space="0"/>
              <w:bottom w:val="dotted" w:color="auto" w:sz="4" w:space="0"/>
              <w:right w:val="nil"/>
            </w:tcBorders>
            <w:vAlign w:val="center"/>
          </w:tcPr>
          <w:p>
            <w:pPr>
              <w:spacing w:line="28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夏粮播种面积31.87万亩</w:t>
            </w:r>
          </w:p>
          <w:p>
            <w:pPr>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夏粮总产10.93万吨</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continue"/>
            <w:tcBorders>
              <w:top w:val="dotted" w:color="auto" w:sz="4" w:space="0"/>
              <w:bottom w:val="double" w:color="auto" w:sz="4" w:space="0"/>
              <w:right w:val="dotted" w:color="auto" w:sz="4" w:space="0"/>
            </w:tcBorders>
          </w:tcPr>
          <w:p>
            <w:pPr>
              <w:spacing w:line="240" w:lineRule="exact"/>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uble"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36</w:t>
            </w:r>
          </w:p>
        </w:tc>
        <w:tc>
          <w:tcPr>
            <w:tcW w:w="3353" w:type="dxa"/>
            <w:tcBorders>
              <w:top w:val="dotted" w:color="auto" w:sz="4" w:space="0"/>
              <w:left w:val="dotted" w:color="auto" w:sz="4" w:space="0"/>
              <w:bottom w:val="double"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安全生产发展水平</w:t>
            </w:r>
          </w:p>
        </w:tc>
        <w:tc>
          <w:tcPr>
            <w:tcW w:w="923" w:type="dxa"/>
            <w:tcBorders>
              <w:top w:val="dotted" w:color="auto" w:sz="4" w:space="0"/>
              <w:left w:val="dotted" w:color="auto" w:sz="4" w:space="0"/>
              <w:bottom w:val="double"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uble" w:color="auto" w:sz="4" w:space="0"/>
              <w:right w:val="dotted" w:color="auto" w:sz="4" w:space="0"/>
            </w:tcBorders>
            <w:vAlign w:val="center"/>
          </w:tcPr>
          <w:p>
            <w:pPr>
              <w:spacing w:line="240" w:lineRule="exact"/>
              <w:jc w:val="center"/>
              <w:rPr>
                <w:rFonts w:ascii="Times New Roman" w:hAnsi="Times New Roman" w:eastAsia="方正仿宋简体" w:cs="Times New Roman"/>
                <w:snapToGrid w:val="0"/>
                <w:sz w:val="20"/>
                <w:szCs w:val="20"/>
              </w:rPr>
            </w:pPr>
            <w:r>
              <w:rPr>
                <w:rFonts w:ascii="Times New Roman" w:hAnsi="Times New Roman" w:eastAsia="方正仿宋简体" w:cs="Times New Roman"/>
                <w:snapToGrid w:val="0"/>
                <w:sz w:val="20"/>
                <w:szCs w:val="20"/>
              </w:rPr>
              <w:t>达市考核目标</w:t>
            </w:r>
          </w:p>
        </w:tc>
        <w:tc>
          <w:tcPr>
            <w:tcW w:w="2873" w:type="dxa"/>
            <w:gridSpan w:val="3"/>
            <w:tcBorders>
              <w:top w:val="dotted" w:color="auto" w:sz="4" w:space="0"/>
              <w:left w:val="dotted" w:color="auto" w:sz="4" w:space="0"/>
              <w:bottom w:val="double" w:color="auto" w:sz="4" w:space="0"/>
              <w:right w:val="nil"/>
            </w:tcBorders>
            <w:vAlign w:val="center"/>
          </w:tcPr>
          <w:p>
            <w:pPr>
              <w:jc w:val="center"/>
              <w:rPr>
                <w:rFonts w:ascii="Times New Roman" w:hAnsi="Times New Roman" w:eastAsia="方正仿宋简体" w:cs="Times New Roman"/>
                <w:sz w:val="20"/>
                <w:szCs w:val="20"/>
              </w:rPr>
            </w:pPr>
            <w:r>
              <w:rPr>
                <w:rFonts w:hint="eastAsia" w:ascii="Times New Roman" w:hAnsi="Times New Roman" w:eastAsia="方正仿宋简体" w:cs="Times New Roman"/>
                <w:sz w:val="20"/>
                <w:szCs w:val="20"/>
              </w:rPr>
              <w:t>达市考核目标</w:t>
            </w:r>
          </w:p>
        </w:tc>
      </w:tr>
    </w:tbl>
    <w:p>
      <w:pPr>
        <w:spacing w:line="550" w:lineRule="exact"/>
        <w:ind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sz w:val="32"/>
          <w:szCs w:val="32"/>
        </w:rPr>
        <w:t>（二）重点项目进展情况</w:t>
      </w:r>
    </w:p>
    <w:p>
      <w:pPr>
        <w:spacing w:line="55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2023年全区重点项目</w:t>
      </w:r>
      <w:r>
        <w:rPr>
          <w:rFonts w:hint="eastAsia" w:ascii="Times New Roman" w:hAnsi="Times New Roman" w:eastAsia="方正仿宋简体" w:cs="Times New Roman"/>
          <w:sz w:val="32"/>
          <w:szCs w:val="32"/>
        </w:rPr>
        <w:t>146</w:t>
      </w:r>
      <w:r>
        <w:rPr>
          <w:rFonts w:ascii="Times New Roman" w:hAnsi="Times New Roman" w:eastAsia="方正仿宋简体" w:cs="Times New Roman"/>
          <w:sz w:val="32"/>
          <w:szCs w:val="32"/>
        </w:rPr>
        <w:t>个</w:t>
      </w:r>
      <w:r>
        <w:rPr>
          <w:rFonts w:hint="eastAsia" w:ascii="Times New Roman" w:hAnsi="Times New Roman" w:eastAsia="方正仿宋简体" w:cs="Times New Roman"/>
          <w:sz w:val="32"/>
          <w:szCs w:val="32"/>
        </w:rPr>
        <w:t>（</w:t>
      </w:r>
      <w:r>
        <w:rPr>
          <w:rFonts w:ascii="Times New Roman" w:hAnsi="Times New Roman" w:eastAsia="方正楷体简体" w:cs="Times New Roman"/>
          <w:sz w:val="32"/>
          <w:szCs w:val="32"/>
        </w:rPr>
        <w:t>含19个力争开工项目</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，总投资</w:t>
      </w:r>
      <w:r>
        <w:rPr>
          <w:rFonts w:hint="eastAsia" w:ascii="Times New Roman" w:hAnsi="Times New Roman" w:eastAsia="方正仿宋简体" w:cs="Times New Roman"/>
          <w:sz w:val="32"/>
          <w:szCs w:val="32"/>
        </w:rPr>
        <w:t>1127.7</w:t>
      </w:r>
      <w:r>
        <w:rPr>
          <w:rFonts w:ascii="Times New Roman" w:hAnsi="Times New Roman" w:eastAsia="方正仿宋简体" w:cs="Times New Roman"/>
          <w:sz w:val="32"/>
          <w:szCs w:val="32"/>
        </w:rPr>
        <w:t>亿元，当年计划投资</w:t>
      </w:r>
      <w:r>
        <w:rPr>
          <w:rFonts w:hint="eastAsia" w:ascii="Times New Roman" w:hAnsi="Times New Roman" w:eastAsia="方正仿宋简体" w:cs="Times New Roman"/>
          <w:sz w:val="32"/>
          <w:szCs w:val="32"/>
        </w:rPr>
        <w:t>202.4</w:t>
      </w:r>
      <w:r>
        <w:rPr>
          <w:rFonts w:ascii="Times New Roman" w:hAnsi="Times New Roman" w:eastAsia="方正仿宋简体" w:cs="Times New Roman"/>
          <w:sz w:val="32"/>
          <w:szCs w:val="32"/>
        </w:rPr>
        <w:t>亿元。上半年实施项目</w:t>
      </w:r>
      <w:r>
        <w:rPr>
          <w:rFonts w:hint="eastAsia" w:ascii="Times New Roman" w:hAnsi="Times New Roman" w:eastAsia="方正仿宋简体" w:cs="Times New Roman"/>
          <w:sz w:val="32"/>
          <w:szCs w:val="32"/>
        </w:rPr>
        <w:t>129</w:t>
      </w:r>
      <w:r>
        <w:rPr>
          <w:rFonts w:ascii="Times New Roman" w:hAnsi="Times New Roman" w:eastAsia="方正仿宋简体" w:cs="Times New Roman"/>
          <w:sz w:val="32"/>
          <w:szCs w:val="32"/>
        </w:rPr>
        <w:t>个，实施率达</w:t>
      </w:r>
      <w:r>
        <w:rPr>
          <w:rFonts w:hint="eastAsia" w:ascii="Times New Roman" w:hAnsi="Times New Roman" w:eastAsia="方正仿宋简体" w:cs="Times New Roman"/>
          <w:sz w:val="32"/>
          <w:szCs w:val="32"/>
        </w:rPr>
        <w:t>88.4</w:t>
      </w:r>
      <w:r>
        <w:rPr>
          <w:rFonts w:ascii="Times New Roman" w:hAnsi="Times New Roman" w:eastAsia="方正仿宋简体" w:cs="Times New Roman"/>
          <w:sz w:val="32"/>
          <w:szCs w:val="32"/>
        </w:rPr>
        <w:t>%，</w:t>
      </w:r>
      <w:r>
        <w:rPr>
          <w:rFonts w:ascii="Times New Roman" w:hAnsi="Times New Roman" w:eastAsia="方正仿宋简体" w:cs="Times New Roman"/>
          <w:bCs/>
          <w:sz w:val="32"/>
          <w:szCs w:val="32"/>
        </w:rPr>
        <w:t>完成统计投资</w:t>
      </w:r>
      <w:r>
        <w:rPr>
          <w:rFonts w:hint="eastAsia" w:ascii="Times New Roman" w:hAnsi="Times New Roman" w:eastAsia="方正仿宋简体" w:cs="Times New Roman"/>
          <w:bCs/>
          <w:sz w:val="32"/>
          <w:szCs w:val="32"/>
        </w:rPr>
        <w:t>133</w:t>
      </w:r>
      <w:r>
        <w:rPr>
          <w:rFonts w:ascii="Times New Roman" w:hAnsi="Times New Roman" w:eastAsia="方正仿宋简体" w:cs="Times New Roman"/>
          <w:bCs/>
          <w:sz w:val="32"/>
          <w:szCs w:val="32"/>
        </w:rPr>
        <w:t>亿元、占年度计划的</w:t>
      </w:r>
      <w:r>
        <w:rPr>
          <w:rFonts w:hint="eastAsia" w:ascii="Times New Roman" w:hAnsi="Times New Roman" w:eastAsia="方正仿宋简体" w:cs="Times New Roman"/>
          <w:bCs/>
          <w:sz w:val="32"/>
          <w:szCs w:val="32"/>
        </w:rPr>
        <w:t>65.7</w:t>
      </w:r>
      <w:r>
        <w:rPr>
          <w:rFonts w:ascii="Times New Roman" w:hAnsi="Times New Roman" w:eastAsia="方正仿宋简体" w:cs="Times New Roman"/>
          <w:bCs/>
          <w:sz w:val="32"/>
          <w:szCs w:val="32"/>
        </w:rPr>
        <w:t>%</w:t>
      </w:r>
      <w:r>
        <w:rPr>
          <w:rFonts w:ascii="Times New Roman" w:hAnsi="Times New Roman" w:eastAsia="方正仿宋简体" w:cs="Times New Roman"/>
          <w:sz w:val="32"/>
          <w:szCs w:val="32"/>
        </w:rPr>
        <w:t>；其中，产业类项目实施</w:t>
      </w:r>
      <w:r>
        <w:rPr>
          <w:rFonts w:hint="eastAsia" w:ascii="Times New Roman" w:hAnsi="Times New Roman" w:eastAsia="方正仿宋简体" w:cs="Times New Roman"/>
          <w:sz w:val="32"/>
          <w:szCs w:val="32"/>
        </w:rPr>
        <w:t>56</w:t>
      </w:r>
      <w:r>
        <w:rPr>
          <w:rFonts w:ascii="Times New Roman" w:hAnsi="Times New Roman" w:eastAsia="方正仿宋简体" w:cs="Times New Roman"/>
          <w:sz w:val="32"/>
          <w:szCs w:val="32"/>
        </w:rPr>
        <w:t>个，实施率达</w:t>
      </w:r>
      <w:r>
        <w:rPr>
          <w:rFonts w:hint="eastAsia" w:ascii="Times New Roman" w:hAnsi="Times New Roman" w:eastAsia="方正仿宋简体" w:cs="Times New Roman"/>
          <w:sz w:val="32"/>
          <w:szCs w:val="32"/>
        </w:rPr>
        <w:t>81.2</w:t>
      </w:r>
      <w:r>
        <w:rPr>
          <w:rFonts w:ascii="Times New Roman" w:hAnsi="Times New Roman" w:eastAsia="方正仿宋简体" w:cs="Times New Roman"/>
          <w:sz w:val="32"/>
          <w:szCs w:val="32"/>
        </w:rPr>
        <w:t>%，完成当年计划投资</w:t>
      </w:r>
      <w:r>
        <w:rPr>
          <w:rFonts w:hint="eastAsia" w:ascii="Times New Roman" w:hAnsi="Times New Roman" w:eastAsia="方正仿宋简体" w:cs="Times New Roman"/>
          <w:sz w:val="32"/>
          <w:szCs w:val="32"/>
        </w:rPr>
        <w:t>63.6</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15</w:t>
      </w:r>
      <w:r>
        <w:rPr>
          <w:rFonts w:ascii="Times New Roman" w:hAnsi="Times New Roman" w:eastAsia="方正仿宋简体" w:cs="Times New Roman"/>
          <w:sz w:val="32"/>
          <w:szCs w:val="32"/>
        </w:rPr>
        <w:t>个市重大项目（</w:t>
      </w:r>
      <w:r>
        <w:rPr>
          <w:rFonts w:ascii="Times New Roman" w:hAnsi="Times New Roman" w:eastAsia="方正楷体简体" w:cs="Times New Roman"/>
          <w:sz w:val="32"/>
          <w:szCs w:val="32"/>
        </w:rPr>
        <w:t>含1个省重大，3个力争开工项目</w:t>
      </w:r>
      <w:r>
        <w:rPr>
          <w:rFonts w:ascii="Times New Roman" w:hAnsi="Times New Roman" w:eastAsia="方正仿宋简体" w:cs="Times New Roman"/>
          <w:sz w:val="32"/>
          <w:szCs w:val="32"/>
        </w:rPr>
        <w:t>）实施率达</w:t>
      </w:r>
      <w:r>
        <w:rPr>
          <w:rFonts w:hint="eastAsia" w:ascii="Times New Roman" w:hAnsi="Times New Roman" w:eastAsia="方正仿宋简体" w:cs="Times New Roman"/>
          <w:sz w:val="32"/>
          <w:szCs w:val="32"/>
        </w:rPr>
        <w:t>80</w:t>
      </w:r>
      <w:r>
        <w:rPr>
          <w:rFonts w:ascii="Times New Roman" w:hAnsi="Times New Roman" w:eastAsia="方正仿宋简体" w:cs="Times New Roman"/>
          <w:sz w:val="32"/>
          <w:szCs w:val="32"/>
        </w:rPr>
        <w:t>%，完成投资</w:t>
      </w:r>
      <w:r>
        <w:rPr>
          <w:rFonts w:hint="eastAsia" w:ascii="Times New Roman" w:hAnsi="Times New Roman" w:eastAsia="方正仿宋简体" w:cs="Times New Roman"/>
          <w:sz w:val="32"/>
          <w:szCs w:val="32"/>
        </w:rPr>
        <w:t>35.7</w:t>
      </w:r>
      <w:r>
        <w:rPr>
          <w:rFonts w:ascii="Times New Roman" w:hAnsi="Times New Roman" w:eastAsia="方正仿宋简体" w:cs="Times New Roman"/>
          <w:sz w:val="32"/>
          <w:szCs w:val="32"/>
        </w:rPr>
        <w:t>亿元、占年度计划的</w:t>
      </w:r>
      <w:r>
        <w:rPr>
          <w:rFonts w:hint="eastAsia" w:ascii="Times New Roman" w:hAnsi="Times New Roman" w:eastAsia="方正仿宋简体" w:cs="Times New Roman"/>
          <w:sz w:val="32"/>
          <w:szCs w:val="32"/>
        </w:rPr>
        <w:t>74.6</w:t>
      </w:r>
      <w:r>
        <w:rPr>
          <w:rFonts w:ascii="Times New Roman" w:hAnsi="Times New Roman" w:eastAsia="方正仿宋简体" w:cs="Times New Roman"/>
          <w:sz w:val="32"/>
          <w:szCs w:val="32"/>
        </w:rPr>
        <w:t>%。</w:t>
      </w:r>
      <w:bookmarkStart w:id="0" w:name="_Hlk141717625"/>
      <w:r>
        <w:rPr>
          <w:rFonts w:hint="eastAsia" w:ascii="Times New Roman" w:hAnsi="Times New Roman" w:eastAsia="方正仿宋简体" w:cs="Times New Roman"/>
          <w:sz w:val="32"/>
          <w:szCs w:val="32"/>
        </w:rPr>
        <w:t>省市区重点项目投资完成率均超序时进度要求，5</w:t>
      </w: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个政府投资项目有序推进</w:t>
      </w:r>
      <w:bookmarkEnd w:id="0"/>
      <w:r>
        <w:rPr>
          <w:rFonts w:hint="eastAsia" w:ascii="Times New Roman" w:hAnsi="Times New Roman" w:eastAsia="方正仿宋简体" w:cs="Times New Roman"/>
          <w:sz w:val="32"/>
          <w:szCs w:val="32"/>
        </w:rPr>
        <w:t>。</w:t>
      </w:r>
    </w:p>
    <w:p>
      <w:pPr>
        <w:spacing w:line="550" w:lineRule="exact"/>
        <w:ind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sz w:val="32"/>
          <w:szCs w:val="32"/>
        </w:rPr>
        <w:t>（三）主要工作成效</w:t>
      </w:r>
    </w:p>
    <w:p>
      <w:pPr>
        <w:spacing w:line="55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列入2023年人代会计划的创新发展、改革攻坚、城乡建设、生态文明、民生福祉等五个方面重点工作取得</w:t>
      </w:r>
      <w:r>
        <w:rPr>
          <w:rFonts w:hint="eastAsia" w:ascii="Times New Roman" w:hAnsi="Times New Roman" w:eastAsia="方正仿宋简体" w:cs="Times New Roman"/>
          <w:sz w:val="32"/>
          <w:szCs w:val="32"/>
        </w:rPr>
        <w:t>明显</w:t>
      </w:r>
      <w:r>
        <w:rPr>
          <w:rFonts w:ascii="Times New Roman" w:hAnsi="Times New Roman" w:eastAsia="方正仿宋简体" w:cs="Times New Roman"/>
          <w:sz w:val="32"/>
          <w:szCs w:val="32"/>
        </w:rPr>
        <w:t>成效。</w:t>
      </w:r>
    </w:p>
    <w:p>
      <w:pPr>
        <w:spacing w:line="55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rPr>
        <w:t>创新能力不断增强</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rPr>
        <w:t>产业升级态势明显</w:t>
      </w:r>
    </w:p>
    <w:p>
      <w:pPr>
        <w:spacing w:line="550" w:lineRule="exact"/>
        <w:ind w:firstLine="643" w:firstLineChars="200"/>
        <w:rPr>
          <w:rFonts w:ascii="Times New Roman" w:hAnsi="Times New Roman" w:eastAsia="方正仿宋简体" w:cs="Times New Roman"/>
          <w:color w:val="FF0000"/>
          <w:sz w:val="32"/>
          <w:szCs w:val="40"/>
        </w:rPr>
      </w:pPr>
      <w:r>
        <w:rPr>
          <w:rFonts w:ascii="Times New Roman" w:hAnsi="Times New Roman" w:eastAsia="方正仿宋简体" w:cs="Times New Roman"/>
          <w:b/>
          <w:bCs/>
          <w:sz w:val="32"/>
          <w:szCs w:val="40"/>
        </w:rPr>
        <w:t>创新</w:t>
      </w:r>
      <w:r>
        <w:rPr>
          <w:rFonts w:hint="eastAsia" w:ascii="Times New Roman" w:hAnsi="Times New Roman" w:eastAsia="方正仿宋简体" w:cs="Times New Roman"/>
          <w:b/>
          <w:bCs/>
          <w:sz w:val="32"/>
          <w:szCs w:val="40"/>
        </w:rPr>
        <w:t>要素加快集聚</w:t>
      </w:r>
      <w:r>
        <w:rPr>
          <w:rFonts w:ascii="Times New Roman" w:hAnsi="Times New Roman" w:eastAsia="方正仿宋简体" w:cs="Times New Roman"/>
          <w:b/>
          <w:bCs/>
          <w:sz w:val="32"/>
          <w:szCs w:val="40"/>
        </w:rPr>
        <w:t>。</w:t>
      </w:r>
      <w:r>
        <w:rPr>
          <w:rFonts w:hint="eastAsia" w:ascii="Times New Roman" w:hAnsi="Times New Roman" w:eastAsia="方正仿宋简体" w:cs="Times New Roman"/>
          <w:sz w:val="32"/>
          <w:szCs w:val="40"/>
        </w:rPr>
        <w:t>启动建设南航国际创新港一期项目</w:t>
      </w:r>
      <w:r>
        <w:rPr>
          <w:rFonts w:ascii="Times New Roman" w:hAnsi="Times New Roman" w:eastAsia="方正仿宋简体" w:cs="Times New Roman"/>
          <w:sz w:val="32"/>
          <w:szCs w:val="40"/>
        </w:rPr>
        <w:t>，举办航空航天产学研创新融合发展大会，签约重大创新平台4个（</w:t>
      </w:r>
      <w:r>
        <w:rPr>
          <w:rFonts w:ascii="Times New Roman" w:hAnsi="Times New Roman" w:eastAsia="方正楷体简体" w:cs="Times New Roman"/>
          <w:sz w:val="32"/>
          <w:szCs w:val="40"/>
        </w:rPr>
        <w:t>包括国家重点实验室2个</w:t>
      </w:r>
      <w:r>
        <w:rPr>
          <w:rFonts w:ascii="Times New Roman" w:hAnsi="Times New Roman" w:eastAsia="方正仿宋简体" w:cs="Times New Roman"/>
          <w:sz w:val="32"/>
          <w:szCs w:val="40"/>
        </w:rPr>
        <w:t>）、央企校地联合实验室4个</w:t>
      </w:r>
      <w:r>
        <w:rPr>
          <w:rFonts w:hint="eastAsia" w:ascii="Times New Roman" w:hAnsi="Times New Roman" w:eastAsia="方正仿宋简体" w:cs="Times New Roman"/>
          <w:sz w:val="32"/>
          <w:szCs w:val="40"/>
        </w:rPr>
        <w:t>、产业化项目6个</w:t>
      </w:r>
      <w:r>
        <w:rPr>
          <w:rFonts w:ascii="Times New Roman" w:hAnsi="Times New Roman" w:eastAsia="方正仿宋简体" w:cs="Times New Roman"/>
          <w:sz w:val="32"/>
          <w:szCs w:val="40"/>
        </w:rPr>
        <w:t>；深入推进与南京工业职业技术大学合作共建产教融合园，六合科技城建成投入使用；</w:t>
      </w:r>
      <w:r>
        <w:rPr>
          <w:rFonts w:ascii="Times New Roman" w:hAnsi="Times New Roman" w:eastAsia="方正仿宋简体"/>
          <w:color w:val="000000"/>
          <w:sz w:val="32"/>
          <w:szCs w:val="32"/>
        </w:rPr>
        <w:t>成立总规模10亿元区级创新产业基金</w:t>
      </w:r>
      <w:r>
        <w:rPr>
          <w:rFonts w:hint="eastAsia" w:ascii="Times New Roman" w:hAnsi="Times New Roman" w:eastAsia="方正仿宋简体" w:cs="Times New Roman"/>
          <w:sz w:val="32"/>
          <w:szCs w:val="40"/>
        </w:rPr>
        <w:t>；</w:t>
      </w:r>
      <w:r>
        <w:rPr>
          <w:rFonts w:ascii="Times New Roman" w:hAnsi="Times New Roman" w:eastAsia="方正仿宋简体" w:cs="Times New Roman"/>
          <w:sz w:val="32"/>
          <w:szCs w:val="40"/>
        </w:rPr>
        <w:t>高新技术产业投资同比增长151.9%、排名</w:t>
      </w:r>
      <w:r>
        <w:rPr>
          <w:rFonts w:hint="eastAsia" w:ascii="Times New Roman" w:hAnsi="Times New Roman" w:eastAsia="方正仿宋简体" w:cs="Times New Roman"/>
          <w:sz w:val="32"/>
          <w:szCs w:val="40"/>
        </w:rPr>
        <w:t>六郊区第1</w:t>
      </w:r>
      <w:r>
        <w:rPr>
          <w:rFonts w:ascii="Times New Roman" w:hAnsi="Times New Roman" w:eastAsia="方正仿宋简体" w:cs="Times New Roman"/>
          <w:sz w:val="32"/>
          <w:szCs w:val="40"/>
        </w:rPr>
        <w:t>，技术合同成交额11.98亿元、</w:t>
      </w:r>
      <w:r>
        <w:rPr>
          <w:rFonts w:hint="eastAsia" w:ascii="Times New Roman" w:hAnsi="Times New Roman" w:eastAsia="方正仿宋简体" w:cs="Times New Roman"/>
          <w:sz w:val="32"/>
          <w:szCs w:val="40"/>
        </w:rPr>
        <w:t>完成率达</w:t>
      </w:r>
      <w:r>
        <w:rPr>
          <w:rFonts w:ascii="Times New Roman" w:hAnsi="Times New Roman" w:eastAsia="方正仿宋简体" w:cs="Times New Roman"/>
          <w:sz w:val="32"/>
          <w:szCs w:val="40"/>
        </w:rPr>
        <w:t>70.5%；</w:t>
      </w:r>
      <w:r>
        <w:rPr>
          <w:rFonts w:hint="eastAsia" w:ascii="Times New Roman" w:hAnsi="Times New Roman" w:eastAsia="方正仿宋简体" w:cs="Times New Roman"/>
          <w:sz w:val="32"/>
          <w:szCs w:val="40"/>
        </w:rPr>
        <w:t>入选省人才攻关联合体1个，省“双创计划”人才6人、团队1个；申报新一轮国家重点人才工程A类58人、B类5人。</w:t>
      </w:r>
      <w:r>
        <w:rPr>
          <w:rFonts w:ascii="Times New Roman" w:hAnsi="Times New Roman" w:eastAsia="方正仿宋简体" w:cs="Times New Roman"/>
          <w:b/>
          <w:bCs/>
          <w:sz w:val="32"/>
          <w:szCs w:val="40"/>
        </w:rPr>
        <w:t>产业质效</w:t>
      </w:r>
      <w:r>
        <w:rPr>
          <w:rFonts w:hint="eastAsia" w:ascii="Times New Roman" w:hAnsi="Times New Roman" w:eastAsia="方正仿宋简体" w:cs="Times New Roman"/>
          <w:b/>
          <w:bCs/>
          <w:sz w:val="32"/>
          <w:szCs w:val="40"/>
        </w:rPr>
        <w:t>稳步</w:t>
      </w:r>
      <w:r>
        <w:rPr>
          <w:rFonts w:ascii="Times New Roman" w:hAnsi="Times New Roman" w:eastAsia="方正仿宋简体" w:cs="Times New Roman"/>
          <w:b/>
          <w:bCs/>
          <w:sz w:val="32"/>
          <w:szCs w:val="40"/>
        </w:rPr>
        <w:t>提升。</w:t>
      </w:r>
      <w:r>
        <w:rPr>
          <w:rFonts w:hint="eastAsia" w:ascii="Times New Roman" w:hAnsi="Times New Roman" w:eastAsia="方正仿宋简体" w:cs="Times New Roman"/>
          <w:sz w:val="32"/>
          <w:szCs w:val="40"/>
        </w:rPr>
        <w:t>深入实施产业强区战略，推进工业企业智能化改造和数字化转型</w:t>
      </w:r>
      <w:r>
        <w:rPr>
          <w:rFonts w:ascii="Times New Roman" w:hAnsi="Times New Roman" w:eastAsia="方正仿宋简体" w:cs="Times New Roman"/>
          <w:sz w:val="32"/>
          <w:szCs w:val="40"/>
        </w:rPr>
        <w:t>项目127个，获评四星级上云企业1家、三星级上云企业7家；</w:t>
      </w:r>
      <w:r>
        <w:rPr>
          <w:rFonts w:hint="eastAsia" w:ascii="Times New Roman" w:hAnsi="Times New Roman" w:eastAsia="方正仿宋简体" w:cs="Times New Roman"/>
          <w:sz w:val="32"/>
          <w:szCs w:val="40"/>
        </w:rPr>
        <w:t>新增国家级专精特新“小巨人”企业1家；</w:t>
      </w:r>
      <w:r>
        <w:rPr>
          <w:rFonts w:ascii="Times New Roman" w:hAnsi="Times New Roman" w:eastAsia="方正仿宋简体" w:cs="Times New Roman"/>
          <w:sz w:val="32"/>
          <w:szCs w:val="40"/>
        </w:rPr>
        <w:t>加快</w:t>
      </w:r>
      <w:r>
        <w:rPr>
          <w:rFonts w:hint="eastAsia" w:ascii="Times New Roman" w:hAnsi="Times New Roman" w:eastAsia="方正仿宋简体" w:cs="Times New Roman"/>
          <w:sz w:val="32"/>
          <w:szCs w:val="40"/>
        </w:rPr>
        <w:t>盘活</w:t>
      </w:r>
      <w:r>
        <w:rPr>
          <w:rFonts w:ascii="Times New Roman" w:hAnsi="Times New Roman" w:eastAsia="方正仿宋简体" w:cs="Times New Roman"/>
          <w:sz w:val="32"/>
          <w:szCs w:val="40"/>
        </w:rPr>
        <w:t>45宗闲置低效工业用地；</w:t>
      </w:r>
      <w:r>
        <w:rPr>
          <w:rFonts w:ascii="Times New Roman" w:hAnsi="Times New Roman" w:eastAsia="方正仿宋简体" w:cs="Times New Roman"/>
          <w:sz w:val="32"/>
          <w:szCs w:val="32"/>
        </w:rPr>
        <w:t>规上工业总产值同比增长2.3%，高于全市</w:t>
      </w:r>
      <w:r>
        <w:rPr>
          <w:rFonts w:hint="eastAsia" w:ascii="Times New Roman" w:hAnsi="Times New Roman" w:eastAsia="方正仿宋简体" w:cs="Times New Roman"/>
          <w:sz w:val="32"/>
          <w:szCs w:val="32"/>
        </w:rPr>
        <w:t>0</w:t>
      </w:r>
      <w:r>
        <w:rPr>
          <w:rFonts w:ascii="Times New Roman" w:hAnsi="Times New Roman" w:eastAsia="方正仿宋简体" w:cs="Times New Roman"/>
          <w:sz w:val="32"/>
          <w:szCs w:val="32"/>
        </w:rPr>
        <w:t>.6个百分点；</w:t>
      </w:r>
      <w:r>
        <w:rPr>
          <w:rFonts w:ascii="Times New Roman" w:hAnsi="Times New Roman" w:eastAsia="方正仿宋简体"/>
          <w:color w:val="000000"/>
          <w:sz w:val="32"/>
          <w:szCs w:val="32"/>
        </w:rPr>
        <w:t>规上数字经济核心产业营业收入</w:t>
      </w:r>
      <w:r>
        <w:rPr>
          <w:rFonts w:hint="eastAsia" w:ascii="Times New Roman" w:hAnsi="Times New Roman" w:eastAsia="方正仿宋简体"/>
          <w:color w:val="000000"/>
          <w:sz w:val="32"/>
          <w:szCs w:val="32"/>
        </w:rPr>
        <w:t>同比</w:t>
      </w:r>
      <w:r>
        <w:rPr>
          <w:rFonts w:ascii="Times New Roman" w:hAnsi="Times New Roman" w:eastAsia="方正仿宋简体"/>
          <w:color w:val="000000"/>
          <w:sz w:val="32"/>
          <w:szCs w:val="32"/>
        </w:rPr>
        <w:t>增长17.7%</w:t>
      </w:r>
      <w:r>
        <w:rPr>
          <w:rFonts w:hint="eastAsia" w:ascii="Times New Roman" w:hAnsi="Times New Roman" w:eastAsia="方正仿宋简体"/>
          <w:color w:val="000000"/>
          <w:sz w:val="32"/>
          <w:szCs w:val="32"/>
        </w:rPr>
        <w:t>；</w:t>
      </w:r>
      <w:r>
        <w:rPr>
          <w:rFonts w:ascii="Times New Roman" w:hAnsi="Times New Roman" w:eastAsia="方正仿宋简体" w:cs="Times New Roman"/>
          <w:sz w:val="32"/>
          <w:szCs w:val="32"/>
        </w:rPr>
        <w:t>参与GDP核算的规上服务业营收同比增长8%，排名六郊区第2；软件和信息业、文体娱乐业等服务业营收同比增长50%以上</w:t>
      </w:r>
      <w:r>
        <w:rPr>
          <w:rFonts w:ascii="Times New Roman" w:hAnsi="Times New Roman" w:eastAsia="方正仿宋简体" w:cs="Times New Roman"/>
          <w:sz w:val="32"/>
          <w:szCs w:val="40"/>
        </w:rPr>
        <w:t>；</w:t>
      </w:r>
      <w:r>
        <w:rPr>
          <w:rFonts w:ascii="Times New Roman" w:hAnsi="Times New Roman" w:eastAsia="方正仿宋简体" w:cs="Times New Roman"/>
          <w:sz w:val="32"/>
        </w:rPr>
        <w:t>建成60家拟上市企业培育库和13家拟上市重点培育库</w:t>
      </w:r>
      <w:r>
        <w:rPr>
          <w:rFonts w:hint="eastAsia" w:ascii="Times New Roman" w:hAnsi="Times New Roman" w:eastAsia="方正仿宋简体" w:cs="Times New Roman"/>
          <w:sz w:val="32"/>
          <w:szCs w:val="32"/>
          <w:shd w:val="clear" w:color="auto" w:fill="FFFFFF"/>
        </w:rPr>
        <w:t>；第五次全国经济普查有序推进。</w:t>
      </w:r>
      <w:r>
        <w:rPr>
          <w:rFonts w:ascii="Times New Roman" w:hAnsi="Times New Roman" w:eastAsia="方正仿宋简体" w:cs="Times New Roman"/>
          <w:b/>
          <w:bCs/>
          <w:sz w:val="32"/>
          <w:szCs w:val="40"/>
        </w:rPr>
        <w:t>内外循环持续畅通。</w:t>
      </w:r>
      <w:r>
        <w:rPr>
          <w:rFonts w:ascii="Times New Roman" w:hAnsi="Times New Roman" w:eastAsia="方正仿宋简体" w:cs="Times New Roman"/>
          <w:sz w:val="32"/>
          <w:szCs w:val="40"/>
        </w:rPr>
        <w:t>获批地方政府专项债券项目5个，总投资约8.8亿元，债券资金额度3.39亿元；</w:t>
      </w:r>
      <w:r>
        <w:rPr>
          <w:rFonts w:hint="eastAsia" w:ascii="Times New Roman" w:hAnsi="Times New Roman" w:eastAsia="方正仿宋简体" w:cs="Times New Roman"/>
          <w:sz w:val="32"/>
          <w:szCs w:val="40"/>
        </w:rPr>
        <w:t>举办六合年货大集等促消费活动50余场，打造龙袍半亩花田民宿、福格啤酒龙虾音乐节等消费场景50余个，引进区域首店20余家，8</w:t>
      </w:r>
      <w:r>
        <w:rPr>
          <w:rFonts w:ascii="Times New Roman" w:hAnsi="Times New Roman" w:eastAsia="方正仿宋简体" w:cs="Times New Roman"/>
          <w:sz w:val="32"/>
          <w:szCs w:val="40"/>
        </w:rPr>
        <w:t>4</w:t>
      </w:r>
      <w:r>
        <w:rPr>
          <w:rFonts w:hint="eastAsia" w:ascii="Times New Roman" w:hAnsi="Times New Roman" w:eastAsia="方正仿宋简体" w:cs="Times New Roman"/>
          <w:sz w:val="32"/>
          <w:szCs w:val="40"/>
        </w:rPr>
        <w:t>家商贸企业获奖励扶持资金3</w:t>
      </w:r>
      <w:r>
        <w:rPr>
          <w:rFonts w:ascii="Times New Roman" w:hAnsi="Times New Roman" w:eastAsia="方正仿宋简体" w:cs="Times New Roman"/>
          <w:sz w:val="32"/>
          <w:szCs w:val="40"/>
        </w:rPr>
        <w:t>50</w:t>
      </w:r>
      <w:r>
        <w:rPr>
          <w:rFonts w:hint="eastAsia" w:ascii="Times New Roman" w:hAnsi="Times New Roman" w:eastAsia="方正仿宋简体" w:cs="Times New Roman"/>
          <w:sz w:val="32"/>
          <w:szCs w:val="40"/>
        </w:rPr>
        <w:t>万元，消费活力得到激发</w:t>
      </w:r>
      <w:r>
        <w:rPr>
          <w:rFonts w:ascii="Times New Roman" w:hAnsi="Times New Roman" w:eastAsia="方正仿宋简体" w:cs="Times New Roman"/>
          <w:sz w:val="32"/>
          <w:szCs w:val="40"/>
        </w:rPr>
        <w:t>；</w:t>
      </w:r>
      <w:r>
        <w:rPr>
          <w:rFonts w:hint="eastAsia" w:ascii="Times New Roman" w:hAnsi="Times New Roman" w:eastAsia="方正仿宋简体" w:cs="Times New Roman"/>
          <w:sz w:val="32"/>
          <w:szCs w:val="40"/>
        </w:rPr>
        <w:t>举办</w:t>
      </w:r>
      <w:r>
        <w:rPr>
          <w:rFonts w:ascii="Times New Roman" w:hAnsi="Times New Roman" w:eastAsia="方正仿宋简体" w:cs="Times New Roman"/>
          <w:sz w:val="32"/>
          <w:szCs w:val="32"/>
        </w:rPr>
        <w:t>“2023大美六合春季房展会”等活动，</w:t>
      </w:r>
      <w:r>
        <w:rPr>
          <w:rFonts w:ascii="Times New Roman" w:hAnsi="Times New Roman" w:eastAsia="方正仿宋简体" w:cs="Times New Roman"/>
          <w:sz w:val="32"/>
          <w:szCs w:val="40"/>
        </w:rPr>
        <w:t>发放购房补贴、房票等资金约664万元，促进房地产市场平稳健康发展；组织企业参加133届广交会，</w:t>
      </w:r>
      <w:r>
        <w:rPr>
          <w:rFonts w:hint="eastAsia" w:ascii="Times New Roman" w:hAnsi="Times New Roman" w:eastAsia="方正仿宋简体" w:cs="Times New Roman"/>
          <w:sz w:val="32"/>
          <w:szCs w:val="40"/>
        </w:rPr>
        <w:t>帮助企业稳订单、拓市场，</w:t>
      </w:r>
      <w:r>
        <w:rPr>
          <w:rFonts w:ascii="Times New Roman" w:hAnsi="Times New Roman" w:eastAsia="方正仿宋简体" w:cs="Times New Roman"/>
          <w:sz w:val="32"/>
          <w:szCs w:val="40"/>
        </w:rPr>
        <w:t>推动六合名优产品“扬帆出海”。</w:t>
      </w:r>
      <w:r>
        <w:rPr>
          <w:rFonts w:ascii="Times New Roman" w:hAnsi="Times New Roman" w:eastAsia="方正仿宋简体" w:cs="Times New Roman"/>
          <w:b/>
          <w:bCs/>
          <w:sz w:val="32"/>
          <w:szCs w:val="40"/>
        </w:rPr>
        <w:t>农文体旅</w:t>
      </w:r>
      <w:r>
        <w:rPr>
          <w:rFonts w:hint="eastAsia" w:ascii="Times New Roman" w:hAnsi="Times New Roman" w:eastAsia="方正仿宋简体" w:cs="Times New Roman"/>
          <w:b/>
          <w:bCs/>
          <w:sz w:val="32"/>
          <w:szCs w:val="40"/>
        </w:rPr>
        <w:t>融合</w:t>
      </w:r>
      <w:r>
        <w:rPr>
          <w:rFonts w:ascii="Times New Roman" w:hAnsi="Times New Roman" w:eastAsia="方正仿宋简体" w:cs="Times New Roman"/>
          <w:b/>
          <w:bCs/>
          <w:sz w:val="32"/>
          <w:szCs w:val="40"/>
        </w:rPr>
        <w:t>发展。</w:t>
      </w:r>
      <w:r>
        <w:rPr>
          <w:rFonts w:ascii="Times New Roman" w:hAnsi="Times New Roman" w:eastAsia="方正仿宋简体" w:cs="Times New Roman"/>
          <w:sz w:val="32"/>
          <w:szCs w:val="40"/>
        </w:rPr>
        <w:t>出台农业园区管理办法，开展延链补链强链建设，提升现代都市农业建设水平</w:t>
      </w:r>
      <w:r>
        <w:rPr>
          <w:rFonts w:hint="eastAsia" w:ascii="Times New Roman" w:hAnsi="Times New Roman" w:eastAsia="方正仿宋简体" w:cs="Times New Roman"/>
          <w:sz w:val="32"/>
          <w:szCs w:val="40"/>
        </w:rPr>
        <w:t>，农业增加值同比增长2</w:t>
      </w:r>
      <w:r>
        <w:rPr>
          <w:rFonts w:ascii="Times New Roman" w:hAnsi="Times New Roman" w:eastAsia="方正仿宋简体" w:cs="Times New Roman"/>
          <w:sz w:val="32"/>
          <w:szCs w:val="40"/>
        </w:rPr>
        <w:t>.5%；举办“多彩竹镇”乡村文化旅游节等特色活动，累计</w:t>
      </w:r>
      <w:r>
        <w:rPr>
          <w:rFonts w:ascii="Times New Roman" w:hAnsi="Times New Roman" w:eastAsia="方正仿宋简体" w:cs="Times New Roman"/>
          <w:sz w:val="32"/>
          <w:szCs w:val="32"/>
        </w:rPr>
        <w:t>接待游客755万人次，旅游总收入83亿元，同比分别增长26.4%、21.6%；</w:t>
      </w:r>
      <w:r>
        <w:rPr>
          <w:rFonts w:ascii="Times New Roman" w:hAnsi="Times New Roman" w:eastAsia="方正仿宋简体"/>
          <w:color w:val="000000"/>
          <w:sz w:val="32"/>
          <w:szCs w:val="32"/>
        </w:rPr>
        <w:t>程桥池杉湖、竹镇大泉入选省乡村旅游业态创新示范产品</w:t>
      </w:r>
      <w:r>
        <w:rPr>
          <w:rFonts w:hint="eastAsia" w:ascii="Times New Roman" w:hAnsi="Times New Roman" w:eastAsia="方正仿宋简体"/>
          <w:color w:val="000000"/>
          <w:sz w:val="32"/>
          <w:szCs w:val="32"/>
        </w:rPr>
        <w:t>；</w:t>
      </w:r>
      <w:r>
        <w:rPr>
          <w:rFonts w:ascii="Times New Roman" w:hAnsi="Times New Roman" w:eastAsia="方正仿宋简体" w:cs="Times New Roman"/>
          <w:sz w:val="32"/>
          <w:szCs w:val="32"/>
        </w:rPr>
        <w:t>启动博物馆内装及展陈</w:t>
      </w:r>
      <w:r>
        <w:rPr>
          <w:rFonts w:hint="eastAsia" w:ascii="Times New Roman" w:hAnsi="Times New Roman" w:eastAsia="方正仿宋简体" w:cs="Times New Roman"/>
          <w:sz w:val="32"/>
          <w:szCs w:val="32"/>
        </w:rPr>
        <w:t>项目</w:t>
      </w:r>
      <w:r>
        <w:rPr>
          <w:rFonts w:ascii="Times New Roman" w:hAnsi="Times New Roman" w:eastAsia="方正仿宋简体" w:cs="Times New Roman"/>
          <w:sz w:val="32"/>
          <w:szCs w:val="32"/>
        </w:rPr>
        <w:t>；举办全民健身活动55场次，</w:t>
      </w:r>
      <w:r>
        <w:rPr>
          <w:rFonts w:ascii="Times New Roman" w:hAnsi="Times New Roman" w:eastAsia="方正仿宋_GBK" w:cs="Times New Roman"/>
          <w:kern w:val="0"/>
          <w:sz w:val="32"/>
          <w:szCs w:val="32"/>
        </w:rPr>
        <w:t>环大泉湖健身步道获评“省最美跑步线路”；</w:t>
      </w:r>
      <w:r>
        <w:rPr>
          <w:rFonts w:ascii="Times New Roman" w:hAnsi="Times New Roman" w:eastAsia="方正仿宋简体" w:cs="Times New Roman"/>
          <w:sz w:val="32"/>
          <w:szCs w:val="40"/>
        </w:rPr>
        <w:t>打造“棠邑书房”数字阅读空间，开展各类线上线下阅读活动500场</w:t>
      </w:r>
      <w:r>
        <w:rPr>
          <w:rFonts w:hint="eastAsia" w:ascii="Times New Roman" w:hAnsi="Times New Roman" w:eastAsia="方正仿宋简体" w:cs="Times New Roman"/>
          <w:sz w:val="32"/>
          <w:szCs w:val="40"/>
        </w:rPr>
        <w:t>，</w:t>
      </w:r>
      <w:r>
        <w:rPr>
          <w:rFonts w:ascii="Times New Roman" w:hAnsi="Times New Roman" w:eastAsia="方正仿宋简体" w:cs="Times New Roman"/>
          <w:sz w:val="32"/>
          <w:szCs w:val="32"/>
        </w:rPr>
        <w:t>举行送文化下乡活动51场次</w:t>
      </w:r>
      <w:r>
        <w:rPr>
          <w:rFonts w:ascii="Times New Roman" w:hAnsi="Times New Roman" w:eastAsia="方正仿宋简体" w:cs="Times New Roman"/>
          <w:sz w:val="32"/>
          <w:szCs w:val="40"/>
        </w:rPr>
        <w:t>。</w:t>
      </w:r>
    </w:p>
    <w:p>
      <w:pPr>
        <w:pStyle w:val="2"/>
        <w:spacing w:line="550" w:lineRule="exact"/>
        <w:ind w:firstLine="643"/>
        <w:rPr>
          <w:rFonts w:ascii="Times New Roman" w:hAnsi="Times New Roman" w:eastAsia="方正仿宋简体" w:cs="Times New Roman"/>
          <w:b/>
          <w:bCs/>
          <w:sz w:val="32"/>
          <w:szCs w:val="40"/>
        </w:rPr>
      </w:pPr>
      <w:r>
        <w:rPr>
          <w:rFonts w:ascii="Times New Roman" w:hAnsi="Times New Roman" w:eastAsia="方正仿宋简体" w:cs="Times New Roman"/>
          <w:b/>
          <w:bCs/>
          <w:sz w:val="32"/>
          <w:szCs w:val="40"/>
        </w:rPr>
        <w:t>2.综合改革</w:t>
      </w:r>
      <w:r>
        <w:rPr>
          <w:rFonts w:hint="eastAsia" w:ascii="Times New Roman" w:hAnsi="Times New Roman" w:eastAsia="方正仿宋简体" w:cs="Times New Roman"/>
          <w:b/>
          <w:bCs/>
          <w:sz w:val="32"/>
          <w:szCs w:val="40"/>
        </w:rPr>
        <w:t>有序有力</w:t>
      </w:r>
      <w:r>
        <w:rPr>
          <w:rFonts w:ascii="Times New Roman" w:hAnsi="Times New Roman" w:eastAsia="方正仿宋简体" w:cs="Times New Roman"/>
          <w:b/>
          <w:bCs/>
          <w:sz w:val="32"/>
          <w:szCs w:val="40"/>
        </w:rPr>
        <w:t>，发展动能</w:t>
      </w:r>
      <w:r>
        <w:rPr>
          <w:rFonts w:hint="eastAsia" w:ascii="Times New Roman" w:hAnsi="Times New Roman" w:eastAsia="方正仿宋简体" w:cs="Times New Roman"/>
          <w:b/>
          <w:bCs/>
          <w:sz w:val="32"/>
          <w:szCs w:val="40"/>
        </w:rPr>
        <w:t>加速</w:t>
      </w:r>
      <w:r>
        <w:rPr>
          <w:rFonts w:ascii="Times New Roman" w:hAnsi="Times New Roman" w:eastAsia="方正仿宋简体" w:cs="Times New Roman"/>
          <w:b/>
          <w:bCs/>
          <w:sz w:val="32"/>
          <w:szCs w:val="40"/>
        </w:rPr>
        <w:t>积蓄</w:t>
      </w:r>
    </w:p>
    <w:p>
      <w:pPr>
        <w:pStyle w:val="2"/>
        <w:spacing w:line="550" w:lineRule="exact"/>
        <w:ind w:firstLine="643"/>
        <w:rPr>
          <w:rFonts w:ascii="Times New Roman" w:hAnsi="Times New Roman" w:eastAsia="方正仿宋简体" w:cs="Times New Roman"/>
          <w:sz w:val="32"/>
          <w:szCs w:val="32"/>
        </w:rPr>
      </w:pPr>
      <w:r>
        <w:rPr>
          <w:rFonts w:ascii="Times New Roman" w:hAnsi="Times New Roman" w:eastAsia="方正仿宋简体" w:cs="Times New Roman"/>
          <w:b/>
          <w:bCs/>
          <w:sz w:val="32"/>
          <w:szCs w:val="40"/>
        </w:rPr>
        <w:t>营商环境</w:t>
      </w:r>
      <w:r>
        <w:rPr>
          <w:rFonts w:hint="eastAsia" w:ascii="Times New Roman" w:hAnsi="Times New Roman" w:eastAsia="方正仿宋简体" w:cs="Times New Roman"/>
          <w:b/>
          <w:bCs/>
          <w:sz w:val="32"/>
          <w:szCs w:val="40"/>
        </w:rPr>
        <w:t>持续</w:t>
      </w:r>
      <w:r>
        <w:rPr>
          <w:rFonts w:ascii="Times New Roman" w:hAnsi="Times New Roman" w:eastAsia="方正仿宋简体" w:cs="Times New Roman"/>
          <w:b/>
          <w:bCs/>
          <w:sz w:val="32"/>
          <w:szCs w:val="40"/>
        </w:rPr>
        <w:t>优化。</w:t>
      </w:r>
      <w:r>
        <w:rPr>
          <w:rFonts w:hint="eastAsia" w:ascii="Times New Roman" w:hAnsi="Times New Roman" w:eastAsia="方正仿宋简体" w:cs="Times New Roman"/>
          <w:sz w:val="32"/>
          <w:szCs w:val="32"/>
        </w:rPr>
        <w:t>出台《六合区2</w:t>
      </w:r>
      <w:r>
        <w:rPr>
          <w:rFonts w:ascii="Times New Roman" w:hAnsi="Times New Roman" w:eastAsia="方正仿宋简体" w:cs="Times New Roman"/>
          <w:sz w:val="32"/>
          <w:szCs w:val="32"/>
        </w:rPr>
        <w:t>023</w:t>
      </w:r>
      <w:r>
        <w:rPr>
          <w:rFonts w:hint="eastAsia" w:ascii="Times New Roman" w:hAnsi="Times New Roman" w:eastAsia="方正仿宋简体" w:cs="Times New Roman"/>
          <w:sz w:val="32"/>
          <w:szCs w:val="32"/>
        </w:rPr>
        <w:t>年持续优化营商环境的实施意见》，创新做法、典型案例在区级以上主流媒体宣传超1</w:t>
      </w:r>
      <w:r>
        <w:rPr>
          <w:rFonts w:ascii="Times New Roman" w:hAnsi="Times New Roman" w:eastAsia="方正仿宋简体" w:cs="Times New Roman"/>
          <w:sz w:val="32"/>
          <w:szCs w:val="32"/>
        </w:rPr>
        <w:t>00</w:t>
      </w:r>
      <w:r>
        <w:rPr>
          <w:rFonts w:hint="eastAsia" w:ascii="Times New Roman" w:hAnsi="Times New Roman" w:eastAsia="方正仿宋简体" w:cs="Times New Roman"/>
          <w:sz w:val="32"/>
          <w:szCs w:val="32"/>
        </w:rPr>
        <w:t>篇</w:t>
      </w:r>
      <w:r>
        <w:rPr>
          <w:rFonts w:ascii="Times New Roman" w:hAnsi="Times New Roman" w:eastAsia="方正仿宋简体" w:cs="Times New Roman"/>
          <w:sz w:val="32"/>
          <w:szCs w:val="32"/>
        </w:rPr>
        <w:t>；</w:t>
      </w:r>
      <w:r>
        <w:rPr>
          <w:rFonts w:hint="eastAsia" w:ascii="Times New Roman" w:hAnsi="Times New Roman" w:eastAsia="方正仿宋简体" w:cs="Times New Roman"/>
          <w:kern w:val="0"/>
          <w:sz w:val="32"/>
          <w:szCs w:val="32"/>
        </w:rPr>
        <w:t>街镇</w:t>
      </w:r>
      <w:r>
        <w:rPr>
          <w:rFonts w:ascii="Times New Roman" w:hAnsi="Times New Roman" w:eastAsia="方正仿宋简体" w:cs="Times New Roman"/>
          <w:kern w:val="0"/>
          <w:sz w:val="32"/>
          <w:szCs w:val="32"/>
        </w:rPr>
        <w:t>启用</w:t>
      </w:r>
      <w:r>
        <w:rPr>
          <w:rFonts w:ascii="Times New Roman" w:hAnsi="Times New Roman" w:eastAsia="方正仿宋简体" w:cs="Times New Roman"/>
          <w:sz w:val="32"/>
          <w:szCs w:val="40"/>
        </w:rPr>
        <w:t>“便企E站”，设立“一件事一次办”服务综窗，</w:t>
      </w:r>
      <w:r>
        <w:rPr>
          <w:rFonts w:ascii="Times New Roman" w:hAnsi="Times New Roman" w:eastAsia="方正仿宋简体" w:cs="Times New Roman"/>
          <w:sz w:val="32"/>
          <w:szCs w:val="32"/>
        </w:rPr>
        <w:t>提供“前端代办+后台快办”服务，实现企业开办、项目建设审批等17个涉企服务“一件事”和高频政务服务事项“一站式”办理；</w:t>
      </w:r>
      <w:r>
        <w:rPr>
          <w:rFonts w:ascii="Times New Roman" w:hAnsi="Times New Roman" w:eastAsia="方正仿宋简体" w:cs="Times New Roman"/>
          <w:kern w:val="0"/>
          <w:sz w:val="32"/>
          <w:szCs w:val="32"/>
        </w:rPr>
        <w:t>建立工业项目“拿地即开工”联动推进机制，8</w:t>
      </w:r>
      <w:r>
        <w:rPr>
          <w:rFonts w:hint="eastAsia" w:ascii="Times New Roman" w:hAnsi="Times New Roman" w:eastAsia="方正仿宋简体" w:cs="Times New Roman"/>
          <w:kern w:val="0"/>
          <w:sz w:val="32"/>
          <w:szCs w:val="32"/>
        </w:rPr>
        <w:t>宗302亩</w:t>
      </w:r>
      <w:r>
        <w:rPr>
          <w:rFonts w:ascii="Times New Roman" w:hAnsi="Times New Roman" w:eastAsia="方正仿宋简体" w:cs="Times New Roman"/>
          <w:kern w:val="0"/>
          <w:sz w:val="32"/>
          <w:szCs w:val="32"/>
        </w:rPr>
        <w:t>工业用地实现“带方案挂牌+拿地即开工”，有效缩短项目前期手续办理时间；</w:t>
      </w:r>
      <w:r>
        <w:rPr>
          <w:rFonts w:ascii="Times New Roman" w:hAnsi="Times New Roman" w:eastAsia="方正仿宋简体" w:cs="Times New Roman"/>
          <w:sz w:val="32"/>
          <w:szCs w:val="32"/>
        </w:rPr>
        <w:t>推广企业使用保函缴纳投标保证金，累计为企业减少资金占用3.2亿元；</w:t>
      </w:r>
      <w:r>
        <w:rPr>
          <w:rFonts w:ascii="Times New Roman" w:hAnsi="Times New Roman" w:eastAsia="方正仿宋简体" w:cs="Times New Roman"/>
          <w:sz w:val="32"/>
        </w:rPr>
        <w:t>加大惠企金融产品推广力度，帮助企业在省综合金融服务平台授信</w:t>
      </w:r>
      <w:r>
        <w:rPr>
          <w:rFonts w:hint="eastAsia" w:ascii="Times New Roman" w:hAnsi="Times New Roman" w:eastAsia="方正仿宋简体" w:cs="Times New Roman"/>
          <w:sz w:val="32"/>
        </w:rPr>
        <w:t>17.52</w:t>
      </w:r>
      <w:r>
        <w:rPr>
          <w:rFonts w:ascii="Times New Roman" w:hAnsi="Times New Roman" w:eastAsia="方正仿宋简体" w:cs="Times New Roman"/>
          <w:sz w:val="32"/>
        </w:rPr>
        <w:t>亿元、获贷款</w:t>
      </w:r>
      <w:r>
        <w:rPr>
          <w:rFonts w:hint="eastAsia" w:ascii="Times New Roman" w:hAnsi="Times New Roman" w:eastAsia="方正仿宋简体" w:cs="Times New Roman"/>
          <w:sz w:val="32"/>
        </w:rPr>
        <w:t>13.35</w:t>
      </w:r>
      <w:r>
        <w:rPr>
          <w:rFonts w:ascii="Times New Roman" w:hAnsi="Times New Roman" w:eastAsia="方正仿宋简体" w:cs="Times New Roman"/>
          <w:sz w:val="32"/>
        </w:rPr>
        <w:t>亿元，办理民营企业转贷互助基金319笔、合计10.6亿元</w:t>
      </w:r>
      <w:r>
        <w:rPr>
          <w:rFonts w:ascii="Times New Roman" w:hAnsi="Times New Roman" w:eastAsia="方正仿宋简体" w:cs="Times New Roman"/>
          <w:sz w:val="32"/>
          <w:szCs w:val="32"/>
          <w:shd w:val="clear" w:color="auto" w:fill="FFFFFF"/>
        </w:rPr>
        <w:t>。</w:t>
      </w:r>
      <w:r>
        <w:rPr>
          <w:rFonts w:ascii="Times New Roman" w:hAnsi="Times New Roman" w:eastAsia="方正仿宋简体" w:cs="Times New Roman"/>
          <w:b/>
          <w:bCs/>
          <w:sz w:val="32"/>
          <w:szCs w:val="32"/>
        </w:rPr>
        <w:t>试点</w:t>
      </w:r>
      <w:r>
        <w:rPr>
          <w:rFonts w:hint="eastAsia" w:ascii="Times New Roman" w:hAnsi="Times New Roman" w:eastAsia="方正仿宋简体" w:cs="Times New Roman"/>
          <w:b/>
          <w:bCs/>
          <w:sz w:val="32"/>
          <w:szCs w:val="32"/>
        </w:rPr>
        <w:t>改革走深走实</w:t>
      </w:r>
      <w:r>
        <w:rPr>
          <w:rFonts w:ascii="Times New Roman" w:hAnsi="Times New Roman" w:eastAsia="方正仿宋简体" w:cs="Times New Roman"/>
          <w:b/>
          <w:bCs/>
          <w:sz w:val="32"/>
          <w:szCs w:val="32"/>
        </w:rPr>
        <w:t>。</w:t>
      </w:r>
      <w:r>
        <w:rPr>
          <w:rFonts w:ascii="Times New Roman" w:hAnsi="Times New Roman" w:eastAsia="方正仿宋简体"/>
          <w:color w:val="000000"/>
          <w:sz w:val="32"/>
          <w:szCs w:val="32"/>
        </w:rPr>
        <w:t>出台深化招商引资体制机制改革方案，强化招商中心统筹作用</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成功</w:t>
      </w:r>
      <w:r>
        <w:rPr>
          <w:rFonts w:hint="eastAsia" w:ascii="Times New Roman" w:hAnsi="Times New Roman" w:eastAsia="方正仿宋简体"/>
          <w:color w:val="000000"/>
          <w:sz w:val="32"/>
          <w:szCs w:val="32"/>
        </w:rPr>
        <w:t>举办</w:t>
      </w:r>
      <w:r>
        <w:rPr>
          <w:rFonts w:ascii="Times New Roman" w:hAnsi="Times New Roman" w:eastAsia="方正仿宋简体"/>
          <w:color w:val="000000"/>
          <w:sz w:val="32"/>
          <w:szCs w:val="32"/>
        </w:rPr>
        <w:t>重点招商活动9场，</w:t>
      </w:r>
      <w:r>
        <w:rPr>
          <w:rFonts w:hint="eastAsia" w:ascii="Times New Roman" w:hAnsi="Times New Roman" w:eastAsia="方正仿宋简体"/>
          <w:color w:val="000000"/>
          <w:sz w:val="32"/>
          <w:szCs w:val="32"/>
        </w:rPr>
        <w:t>超序时进度完成主要招商指标；</w:t>
      </w:r>
      <w:r>
        <w:rPr>
          <w:rFonts w:hint="eastAsia" w:ascii="Times New Roman" w:hAnsi="Times New Roman" w:eastAsia="方正仿宋简体" w:cs="Times New Roman"/>
          <w:sz w:val="32"/>
        </w:rPr>
        <w:t>国家</w:t>
      </w:r>
      <w:r>
        <w:rPr>
          <w:rFonts w:hint="eastAsia" w:ascii="Times New Roman" w:hAnsi="Times New Roman" w:eastAsia="方正仿宋简体" w:cs="Times New Roman"/>
          <w:sz w:val="32"/>
          <w:szCs w:val="40"/>
        </w:rPr>
        <w:t>农业绿色发展先行区试点建设初显成效；</w:t>
      </w:r>
      <w:r>
        <w:rPr>
          <w:rFonts w:ascii="Times New Roman" w:hAnsi="Times New Roman" w:eastAsia="方正仿宋简体" w:cs="Times New Roman"/>
          <w:sz w:val="32"/>
          <w:szCs w:val="32"/>
        </w:rPr>
        <w:t>“</w:t>
      </w:r>
      <w:r>
        <w:rPr>
          <w:rFonts w:ascii="Times New Roman" w:hAnsi="Times New Roman" w:eastAsia="方正仿宋简体" w:cs="Times New Roman"/>
          <w:sz w:val="32"/>
          <w:szCs w:val="40"/>
        </w:rPr>
        <w:t>探索农业社会化服务新模式”入选全国农村改革试验区拓展试验任务；出台“区管校聘”“适岗竞聘”</w:t>
      </w:r>
      <w:r>
        <w:rPr>
          <w:rFonts w:hint="eastAsia" w:ascii="Times New Roman" w:hAnsi="Times New Roman" w:eastAsia="方正仿宋简体" w:cs="Times New Roman"/>
          <w:sz w:val="32"/>
          <w:szCs w:val="40"/>
        </w:rPr>
        <w:t>“</w:t>
      </w:r>
      <w:r>
        <w:rPr>
          <w:rFonts w:ascii="仿宋" w:hAnsi="仿宋" w:eastAsia="仿宋"/>
          <w:sz w:val="32"/>
          <w:szCs w:val="32"/>
        </w:rPr>
        <w:t>党组织领导</w:t>
      </w:r>
      <w:r>
        <w:rPr>
          <w:rFonts w:hint="eastAsia" w:ascii="仿宋" w:hAnsi="仿宋" w:eastAsia="仿宋"/>
          <w:sz w:val="32"/>
          <w:szCs w:val="32"/>
        </w:rPr>
        <w:t>下</w:t>
      </w:r>
      <w:r>
        <w:rPr>
          <w:rFonts w:ascii="仿宋" w:hAnsi="仿宋" w:eastAsia="仿宋"/>
          <w:sz w:val="32"/>
          <w:szCs w:val="32"/>
        </w:rPr>
        <w:t>校长负责制</w:t>
      </w:r>
      <w:r>
        <w:rPr>
          <w:rFonts w:hint="eastAsia" w:ascii="Times New Roman" w:hAnsi="Times New Roman" w:eastAsia="方正仿宋简体" w:cs="Times New Roman"/>
          <w:sz w:val="32"/>
          <w:szCs w:val="40"/>
        </w:rPr>
        <w:t>”</w:t>
      </w:r>
      <w:r>
        <w:rPr>
          <w:rFonts w:ascii="Times New Roman" w:hAnsi="Times New Roman" w:eastAsia="方正仿宋简体" w:cs="Times New Roman"/>
          <w:sz w:val="32"/>
          <w:szCs w:val="40"/>
        </w:rPr>
        <w:t>改革、教育联盟内学校教师流动工作补充意见，全面实施教师轮岗流动；</w:t>
      </w:r>
      <w:r>
        <w:rPr>
          <w:rFonts w:ascii="Times New Roman" w:hAnsi="Times New Roman" w:eastAsia="方正仿宋简体" w:cs="Times New Roman"/>
          <w:sz w:val="32"/>
          <w:szCs w:val="32"/>
        </w:rPr>
        <w:t>推广“1+1+N”联盟发展模式，开展联盟“双减”、教师队伍建设、资源共建共享等</w:t>
      </w:r>
      <w:r>
        <w:rPr>
          <w:rFonts w:hint="eastAsia" w:ascii="Times New Roman" w:hAnsi="Times New Roman" w:eastAsia="方正仿宋简体" w:cs="Times New Roman"/>
          <w:sz w:val="32"/>
          <w:szCs w:val="32"/>
        </w:rPr>
        <w:t>工作</w:t>
      </w:r>
      <w:r>
        <w:rPr>
          <w:rFonts w:ascii="Times New Roman" w:hAnsi="Times New Roman" w:eastAsia="方正仿宋简体" w:cs="Times New Roman"/>
          <w:sz w:val="32"/>
          <w:szCs w:val="32"/>
        </w:rPr>
        <w:t>，教育联盟内涵</w:t>
      </w:r>
      <w:r>
        <w:rPr>
          <w:rFonts w:hint="eastAsia" w:ascii="Times New Roman" w:hAnsi="Times New Roman" w:eastAsia="方正仿宋简体" w:cs="Times New Roman"/>
          <w:sz w:val="32"/>
          <w:szCs w:val="32"/>
        </w:rPr>
        <w:t>不断丰富</w:t>
      </w:r>
      <w:r>
        <w:rPr>
          <w:rFonts w:ascii="Times New Roman" w:hAnsi="Times New Roman" w:eastAsia="方正仿宋简体" w:cs="Times New Roman"/>
          <w:sz w:val="32"/>
          <w:szCs w:val="32"/>
        </w:rPr>
        <w:t>；严格落实国家基本药物制度，15家基层医疗机构配备使用基本药物品种和金额占比位列全市前列，区中医院居全市第一</w:t>
      </w:r>
      <w:r>
        <w:rPr>
          <w:rFonts w:hint="eastAsia" w:ascii="Times New Roman" w:hAnsi="Times New Roman" w:eastAsia="方正仿宋简体" w:cs="Times New Roman"/>
          <w:sz w:val="32"/>
          <w:szCs w:val="32"/>
        </w:rPr>
        <w:t>；出台《六合区“信用+基层治理”试点工作实施方案》，全面推进省级试点工作。</w:t>
      </w:r>
    </w:p>
    <w:p>
      <w:pPr>
        <w:pStyle w:val="2"/>
        <w:spacing w:line="550" w:lineRule="exact"/>
        <w:ind w:firstLine="643"/>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3.城乡建设</w:t>
      </w:r>
      <w:r>
        <w:rPr>
          <w:rFonts w:hint="eastAsia" w:ascii="Times New Roman" w:hAnsi="Times New Roman" w:eastAsia="方正仿宋简体" w:cs="Times New Roman"/>
          <w:b/>
          <w:bCs/>
          <w:sz w:val="32"/>
          <w:szCs w:val="32"/>
        </w:rPr>
        <w:t>接续推进</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rPr>
        <w:t>宜居环境有效提升</w:t>
      </w:r>
    </w:p>
    <w:p>
      <w:pPr>
        <w:pStyle w:val="2"/>
        <w:spacing w:line="550" w:lineRule="exact"/>
        <w:ind w:firstLine="643"/>
        <w:rPr>
          <w:rFonts w:ascii="Times New Roman" w:hAnsi="Times New Roman" w:eastAsia="方正楷体简体" w:cs="Times New Roman"/>
          <w:sz w:val="32"/>
          <w:szCs w:val="32"/>
        </w:rPr>
      </w:pPr>
      <w:r>
        <w:rPr>
          <w:rFonts w:ascii="Times New Roman" w:hAnsi="Times New Roman" w:eastAsia="方正仿宋简体" w:cs="Times New Roman"/>
          <w:b/>
          <w:bCs/>
          <w:sz w:val="32"/>
          <w:szCs w:val="32"/>
        </w:rPr>
        <w:t>交通工程</w:t>
      </w:r>
      <w:r>
        <w:rPr>
          <w:rFonts w:hint="eastAsia" w:ascii="Times New Roman" w:hAnsi="Times New Roman" w:eastAsia="方正仿宋简体" w:cs="Times New Roman"/>
          <w:b/>
          <w:bCs/>
          <w:sz w:val="32"/>
          <w:szCs w:val="32"/>
        </w:rPr>
        <w:t>加快</w:t>
      </w:r>
      <w:r>
        <w:rPr>
          <w:rFonts w:ascii="Times New Roman" w:hAnsi="Times New Roman" w:eastAsia="方正仿宋简体" w:cs="Times New Roman"/>
          <w:b/>
          <w:bCs/>
          <w:sz w:val="32"/>
          <w:szCs w:val="32"/>
        </w:rPr>
        <w:t>实施。</w:t>
      </w:r>
      <w:r>
        <w:rPr>
          <w:rFonts w:ascii="Times New Roman" w:hAnsi="Times New Roman" w:eastAsia="方正仿宋简体" w:cs="Times New Roman"/>
          <w:sz w:val="32"/>
          <w:szCs w:val="32"/>
        </w:rPr>
        <w:t>完成北沿江高铁、宁淮城际铁路六合段组卷，</w:t>
      </w:r>
      <w:r>
        <w:rPr>
          <w:rFonts w:ascii="Times New Roman" w:hAnsi="Times New Roman" w:eastAsia="方正仿宋简体"/>
          <w:color w:val="000000"/>
          <w:sz w:val="32"/>
          <w:szCs w:val="32"/>
        </w:rPr>
        <w:t>5个先行段动工</w:t>
      </w:r>
      <w:r>
        <w:rPr>
          <w:rFonts w:ascii="Times New Roman" w:hAnsi="Times New Roman" w:eastAsia="方正仿宋简体" w:cs="Times New Roman"/>
          <w:sz w:val="32"/>
          <w:szCs w:val="32"/>
        </w:rPr>
        <w:t>；501省道</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422省道改扩建等省市重点道路工程完成投资</w:t>
      </w:r>
      <w:r>
        <w:rPr>
          <w:rFonts w:hint="eastAsia" w:ascii="Times New Roman" w:hAnsi="Times New Roman" w:eastAsia="方正仿宋简体" w:cs="Times New Roman"/>
          <w:sz w:val="32"/>
          <w:szCs w:val="32"/>
        </w:rPr>
        <w:t>约</w:t>
      </w:r>
      <w:r>
        <w:rPr>
          <w:rFonts w:ascii="Times New Roman" w:hAnsi="Times New Roman" w:eastAsia="方正仿宋简体" w:cs="Times New Roman"/>
          <w:sz w:val="32"/>
          <w:szCs w:val="32"/>
        </w:rPr>
        <w:t>3.3亿元；雄州西路三期、永宁路出新改造</w:t>
      </w:r>
      <w:r>
        <w:rPr>
          <w:rFonts w:hint="eastAsia" w:ascii="Times New Roman" w:hAnsi="Times New Roman" w:eastAsia="方正仿宋简体" w:cs="Times New Roman"/>
          <w:sz w:val="32"/>
          <w:szCs w:val="32"/>
        </w:rPr>
        <w:t>工程</w:t>
      </w:r>
      <w:r>
        <w:rPr>
          <w:rFonts w:ascii="Times New Roman" w:hAnsi="Times New Roman" w:eastAsia="方正仿宋简体" w:cs="Times New Roman"/>
          <w:sz w:val="32"/>
          <w:szCs w:val="32"/>
        </w:rPr>
        <w:t>完成80%</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体育路、体育南路等市政道路开工建设；农路新改建100公里、生命安全防护工程20公里、农村公路危桥改造10座等项目有序建设。</w:t>
      </w:r>
      <w:bookmarkStart w:id="1" w:name="_Hlk141778896"/>
      <w:r>
        <w:rPr>
          <w:rFonts w:ascii="方正仿宋简体" w:hAnsi="Times New Roman" w:eastAsia="方正仿宋简体" w:cs="Times New Roman"/>
          <w:b/>
          <w:bCs/>
          <w:sz w:val="32"/>
          <w:szCs w:val="40"/>
        </w:rPr>
        <w:t>城市</w:t>
      </w:r>
      <w:r>
        <w:rPr>
          <w:rFonts w:hint="eastAsia" w:ascii="方正仿宋简体" w:hAnsi="Times New Roman" w:eastAsia="方正仿宋简体" w:cs="Times New Roman"/>
          <w:b/>
          <w:bCs/>
          <w:sz w:val="32"/>
          <w:szCs w:val="40"/>
        </w:rPr>
        <w:t>功能更趋完备</w:t>
      </w:r>
      <w:bookmarkEnd w:id="1"/>
      <w:r>
        <w:rPr>
          <w:rFonts w:ascii="Times New Roman" w:hAnsi="Times New Roman" w:eastAsia="方正仿宋简体" w:cs="Times New Roman"/>
          <w:b/>
          <w:bCs/>
          <w:sz w:val="32"/>
          <w:szCs w:val="32"/>
        </w:rPr>
        <w:t>。</w:t>
      </w:r>
      <w:r>
        <w:rPr>
          <w:rFonts w:ascii="Times New Roman" w:hAnsi="Times New Roman" w:eastAsia="方正仿宋简体" w:cs="Times New Roman"/>
          <w:sz w:val="32"/>
          <w:szCs w:val="32"/>
        </w:rPr>
        <w:t>龙袍新城加速建设，</w:t>
      </w:r>
      <w:r>
        <w:rPr>
          <w:rFonts w:ascii="Times New Roman" w:hAnsi="Times New Roman" w:eastAsia="方正仿宋简体" w:cs="Times New Roman"/>
          <w:sz w:val="32"/>
          <w:szCs w:val="40"/>
        </w:rPr>
        <w:t>搬迁建筑面积约1万平方米，24个续建项目马力全开，8个新建项目接续开工，完成固定资产投资</w:t>
      </w:r>
      <w:r>
        <w:rPr>
          <w:rFonts w:ascii="Times New Roman" w:hAnsi="Times New Roman" w:eastAsia="方正仿宋简体" w:cs="Times New Roman"/>
          <w:sz w:val="32"/>
          <w:szCs w:val="32"/>
        </w:rPr>
        <w:t>23.99</w:t>
      </w:r>
      <w:r>
        <w:rPr>
          <w:rFonts w:ascii="Times New Roman" w:hAnsi="Times New Roman" w:eastAsia="方正仿宋简体" w:cs="Times New Roman"/>
          <w:sz w:val="32"/>
          <w:szCs w:val="40"/>
        </w:rPr>
        <w:t>亿元；</w:t>
      </w:r>
      <w:r>
        <w:rPr>
          <w:rFonts w:ascii="Times New Roman" w:hAnsi="Times New Roman" w:eastAsia="方正仿宋简体" w:cs="Times New Roman"/>
          <w:sz w:val="32"/>
          <w:szCs w:val="32"/>
        </w:rPr>
        <w:t>雄州中心区路网建设加速收尾，</w:t>
      </w:r>
      <w:r>
        <w:rPr>
          <w:rFonts w:ascii="Times New Roman" w:hAnsi="Times New Roman" w:eastAsia="方正仿宋简体" w:cs="Times New Roman"/>
          <w:sz w:val="32"/>
          <w:szCs w:val="32"/>
          <w:shd w:val="clear" w:color="auto" w:fill="FFFFFF"/>
        </w:rPr>
        <w:t>内河水系景观工程阶段性验收</w:t>
      </w:r>
      <w:r>
        <w:rPr>
          <w:rFonts w:ascii="Times New Roman" w:hAnsi="Times New Roman" w:eastAsia="方正仿宋简体" w:cs="Times New Roman"/>
          <w:sz w:val="32"/>
          <w:szCs w:val="32"/>
        </w:rPr>
        <w:t>；建设燃气中低压管网18.95公里，</w:t>
      </w:r>
      <w:r>
        <w:rPr>
          <w:rFonts w:hint="eastAsia" w:ascii="Times New Roman" w:hAnsi="Times New Roman" w:eastAsia="方正仿宋简体" w:cs="Times New Roman"/>
          <w:sz w:val="32"/>
          <w:szCs w:val="32"/>
        </w:rPr>
        <w:t>在全省率先实现8</w:t>
      </w:r>
      <w:r>
        <w:rPr>
          <w:rFonts w:ascii="Times New Roman" w:hAnsi="Times New Roman" w:eastAsia="方正仿宋简体" w:cs="Times New Roman"/>
          <w:sz w:val="32"/>
          <w:szCs w:val="32"/>
        </w:rPr>
        <w:t>.7</w:t>
      </w:r>
      <w:r>
        <w:rPr>
          <w:rFonts w:hint="eastAsia" w:ascii="Times New Roman" w:hAnsi="Times New Roman" w:eastAsia="方正仿宋简体" w:cs="Times New Roman"/>
          <w:sz w:val="32"/>
          <w:szCs w:val="32"/>
        </w:rPr>
        <w:t>万户液化气居民用户“报警铃”免费安装全覆盖</w:t>
      </w:r>
      <w:r>
        <w:rPr>
          <w:rFonts w:ascii="Times New Roman" w:hAnsi="Times New Roman" w:eastAsia="方正仿宋简体" w:cs="Times New Roman"/>
          <w:sz w:val="32"/>
          <w:szCs w:val="32"/>
        </w:rPr>
        <w:t>；新增共享泊位910个，新改建公厕3座；</w:t>
      </w:r>
      <w:r>
        <w:rPr>
          <w:rFonts w:hint="eastAsia" w:ascii="Times New Roman" w:hAnsi="Times New Roman" w:eastAsia="方正仿宋简体" w:cs="Times New Roman"/>
          <w:sz w:val="32"/>
          <w:szCs w:val="32"/>
        </w:rPr>
        <w:t>开工</w:t>
      </w:r>
      <w:r>
        <w:rPr>
          <w:rFonts w:ascii="Times New Roman" w:hAnsi="Times New Roman" w:eastAsia="方正仿宋简体" w:cs="Times New Roman"/>
          <w:sz w:val="32"/>
          <w:szCs w:val="32"/>
        </w:rPr>
        <w:t>十二折苑、东泰公寓等老旧小区改造工程。</w:t>
      </w:r>
      <w:r>
        <w:rPr>
          <w:rFonts w:ascii="Times New Roman" w:hAnsi="Times New Roman" w:eastAsia="方正仿宋简体" w:cs="Times New Roman"/>
          <w:b/>
          <w:bCs/>
          <w:sz w:val="32"/>
          <w:szCs w:val="32"/>
        </w:rPr>
        <w:t>乡村</w:t>
      </w:r>
      <w:r>
        <w:rPr>
          <w:rFonts w:hint="eastAsia" w:ascii="Times New Roman" w:hAnsi="Times New Roman" w:eastAsia="方正仿宋简体" w:cs="Times New Roman"/>
          <w:b/>
          <w:bCs/>
          <w:sz w:val="32"/>
          <w:szCs w:val="32"/>
        </w:rPr>
        <w:t>建设见优见美</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sz w:val="32"/>
          <w:szCs w:val="32"/>
        </w:rPr>
        <w:t>完成</w:t>
      </w:r>
      <w:r>
        <w:rPr>
          <w:rFonts w:ascii="Times New Roman" w:hAnsi="Times New Roman" w:eastAsia="方正仿宋简体" w:cs="Times New Roman"/>
          <w:sz w:val="32"/>
          <w:szCs w:val="32"/>
        </w:rPr>
        <w:t>15</w:t>
      </w:r>
      <w:r>
        <w:rPr>
          <w:rFonts w:hint="eastAsia" w:ascii="Times New Roman" w:hAnsi="Times New Roman" w:eastAsia="方正仿宋简体" w:cs="Times New Roman"/>
          <w:sz w:val="32"/>
          <w:szCs w:val="32"/>
        </w:rPr>
        <w:t>个“实用性”村庄规划编制</w:t>
      </w:r>
      <w:r>
        <w:rPr>
          <w:rFonts w:ascii="Times New Roman" w:hAnsi="Times New Roman" w:eastAsia="方正仿宋简体" w:cs="Times New Roman"/>
          <w:sz w:val="32"/>
          <w:szCs w:val="32"/>
        </w:rPr>
        <w:t>；140个市级美丽乡村宜居村</w:t>
      </w:r>
      <w:r>
        <w:rPr>
          <w:rFonts w:hint="eastAsia" w:ascii="Times New Roman" w:hAnsi="Times New Roman" w:eastAsia="方正仿宋简体" w:cs="Times New Roman"/>
          <w:sz w:val="32"/>
          <w:szCs w:val="32"/>
        </w:rPr>
        <w:t>陆续</w:t>
      </w:r>
      <w:r>
        <w:rPr>
          <w:rFonts w:ascii="Times New Roman" w:hAnsi="Times New Roman" w:eastAsia="方正仿宋简体" w:cs="Times New Roman"/>
          <w:sz w:val="32"/>
          <w:szCs w:val="32"/>
        </w:rPr>
        <w:t>进场施工，冶山双墩村张洼</w:t>
      </w:r>
      <w:r>
        <w:rPr>
          <w:rFonts w:hint="eastAsia" w:ascii="Times New Roman" w:hAnsi="Times New Roman" w:eastAsia="方正仿宋简体" w:cs="Times New Roman"/>
          <w:sz w:val="32"/>
          <w:szCs w:val="32"/>
        </w:rPr>
        <w:t>获</w:t>
      </w:r>
      <w:r>
        <w:rPr>
          <w:rFonts w:ascii="Times New Roman" w:hAnsi="Times New Roman" w:eastAsia="方正仿宋简体" w:cs="Times New Roman"/>
          <w:sz w:val="32"/>
          <w:szCs w:val="32"/>
        </w:rPr>
        <w:t>省级特色田园乡村</w:t>
      </w:r>
      <w:r>
        <w:rPr>
          <w:rFonts w:hint="eastAsia" w:ascii="Times New Roman" w:hAnsi="Times New Roman" w:eastAsia="方正仿宋简体" w:cs="Times New Roman"/>
          <w:sz w:val="32"/>
          <w:szCs w:val="32"/>
        </w:rPr>
        <w:t>命名</w:t>
      </w:r>
      <w:r>
        <w:rPr>
          <w:rFonts w:ascii="Times New Roman" w:hAnsi="Times New Roman" w:eastAsia="方正仿宋简体" w:cs="Times New Roman"/>
          <w:sz w:val="32"/>
          <w:szCs w:val="32"/>
        </w:rPr>
        <w:t>；实施</w:t>
      </w:r>
      <w:r>
        <w:rPr>
          <w:rFonts w:hint="eastAsia" w:ascii="Times New Roman" w:hAnsi="Times New Roman" w:eastAsia="方正仿宋简体" w:cs="Times New Roman"/>
          <w:sz w:val="32"/>
          <w:szCs w:val="32"/>
        </w:rPr>
        <w:t>第一批</w:t>
      </w:r>
      <w:r>
        <w:rPr>
          <w:rFonts w:ascii="Times New Roman" w:hAnsi="Times New Roman" w:eastAsia="方正仿宋简体" w:cs="Times New Roman"/>
          <w:sz w:val="32"/>
          <w:szCs w:val="32"/>
        </w:rPr>
        <w:t>村级公益事业建设“一事一议”财政补奖项目238个，预算总投资9000多万元；启动新禹河灌区配套改造项目，</w:t>
      </w:r>
      <w:r>
        <w:rPr>
          <w:rFonts w:hint="eastAsia" w:ascii="Times New Roman" w:hAnsi="Times New Roman" w:eastAsia="方正仿宋简体" w:cs="Times New Roman"/>
          <w:sz w:val="32"/>
          <w:szCs w:val="32"/>
        </w:rPr>
        <w:t>推进</w:t>
      </w:r>
      <w:r>
        <w:rPr>
          <w:rFonts w:ascii="Times New Roman" w:hAnsi="Times New Roman" w:eastAsia="方正仿宋简体" w:cs="Times New Roman"/>
          <w:sz w:val="32"/>
          <w:szCs w:val="32"/>
        </w:rPr>
        <w:t>6座重点泵站、10座重点塘坝和4条翻水线建设；实施14条45.22公里农村生态河道建设，分批次推进15条幸福河湖创建</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各街镇便民（为民）服务中心高分通过“15分钟医保服务圈”验收，竹镇镇创成省级示范点。</w:t>
      </w:r>
    </w:p>
    <w:p>
      <w:pPr>
        <w:pStyle w:val="2"/>
        <w:spacing w:line="550" w:lineRule="exact"/>
        <w:ind w:firstLine="643"/>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rPr>
        <w:t>生态建设力度加大</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rPr>
        <w:t>绿色低碳彰显底色</w:t>
      </w:r>
    </w:p>
    <w:p>
      <w:pPr>
        <w:pStyle w:val="2"/>
        <w:spacing w:line="550" w:lineRule="exact"/>
        <w:ind w:firstLine="643"/>
        <w:rPr>
          <w:rFonts w:ascii="Times New Roman" w:hAnsi="Times New Roman" w:eastAsia="方正仿宋简体" w:cs="Times New Roman"/>
          <w:kern w:val="0"/>
          <w:sz w:val="32"/>
          <w:szCs w:val="32"/>
        </w:rPr>
      </w:pPr>
      <w:r>
        <w:rPr>
          <w:rFonts w:ascii="Times New Roman" w:hAnsi="Times New Roman" w:eastAsia="方正仿宋简体" w:cs="Times New Roman"/>
          <w:b/>
          <w:bCs/>
          <w:sz w:val="32"/>
          <w:szCs w:val="32"/>
        </w:rPr>
        <w:t>绿色品牌</w:t>
      </w:r>
      <w:r>
        <w:rPr>
          <w:rFonts w:hint="eastAsia" w:ascii="Times New Roman" w:hAnsi="Times New Roman" w:eastAsia="方正仿宋简体" w:cs="Times New Roman"/>
          <w:b/>
          <w:bCs/>
          <w:sz w:val="32"/>
          <w:szCs w:val="32"/>
        </w:rPr>
        <w:t>加快打造</w:t>
      </w:r>
      <w:r>
        <w:rPr>
          <w:rFonts w:ascii="Times New Roman" w:hAnsi="Times New Roman" w:eastAsia="方正仿宋简体" w:cs="Times New Roman"/>
          <w:b/>
          <w:bCs/>
          <w:sz w:val="32"/>
          <w:szCs w:val="32"/>
        </w:rPr>
        <w:t>。</w:t>
      </w:r>
      <w:r>
        <w:rPr>
          <w:rFonts w:ascii="Times New Roman" w:hAnsi="Times New Roman" w:eastAsia="方正仿宋简体" w:cs="Times New Roman"/>
          <w:sz w:val="32"/>
          <w:szCs w:val="32"/>
        </w:rPr>
        <w:t>金牛湖周边地区EOD试点（</w:t>
      </w:r>
      <w:r>
        <w:rPr>
          <w:rFonts w:ascii="Times New Roman" w:hAnsi="Times New Roman" w:eastAsia="方正楷体简体" w:cs="Times New Roman"/>
          <w:sz w:val="32"/>
          <w:szCs w:val="32"/>
        </w:rPr>
        <w:t>生态环境导向开发模式</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获政策性中长期贷款、授信额度36.9亿元</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推进</w:t>
      </w:r>
      <w:r>
        <w:rPr>
          <w:rFonts w:ascii="Times New Roman" w:hAnsi="Times New Roman" w:eastAsia="方正仿宋简体" w:cs="Times New Roman"/>
          <w:sz w:val="32"/>
          <w:szCs w:val="32"/>
        </w:rPr>
        <w:t>6家企业</w:t>
      </w:r>
      <w:r>
        <w:rPr>
          <w:rFonts w:hint="eastAsia" w:ascii="Times New Roman" w:hAnsi="Times New Roman" w:eastAsia="方正仿宋简体" w:cs="Times New Roman"/>
          <w:sz w:val="32"/>
          <w:szCs w:val="32"/>
        </w:rPr>
        <w:t>开展</w:t>
      </w:r>
      <w:r>
        <w:rPr>
          <w:rFonts w:ascii="Times New Roman" w:hAnsi="Times New Roman" w:eastAsia="方正仿宋简体" w:cs="Times New Roman"/>
          <w:sz w:val="32"/>
          <w:szCs w:val="32"/>
        </w:rPr>
        <w:t>自愿性清洁生产</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3家企业</w:t>
      </w:r>
      <w:r>
        <w:rPr>
          <w:rFonts w:hint="eastAsia" w:ascii="Times New Roman" w:hAnsi="Times New Roman" w:eastAsia="方正仿宋简体" w:cs="Times New Roman"/>
          <w:sz w:val="32"/>
          <w:szCs w:val="32"/>
        </w:rPr>
        <w:t>建设</w:t>
      </w:r>
      <w:r>
        <w:rPr>
          <w:rFonts w:ascii="Times New Roman" w:hAnsi="Times New Roman" w:eastAsia="方正仿宋简体" w:cs="Times New Roman"/>
          <w:sz w:val="32"/>
          <w:szCs w:val="32"/>
        </w:rPr>
        <w:t>绿色工厂；冶山抽水蓄能电站申报</w:t>
      </w:r>
      <w:r>
        <w:rPr>
          <w:rFonts w:hint="eastAsia" w:ascii="Times New Roman" w:hAnsi="Times New Roman" w:eastAsia="方正仿宋简体" w:cs="Times New Roman"/>
          <w:sz w:val="32"/>
          <w:szCs w:val="32"/>
        </w:rPr>
        <w:t>纳入</w:t>
      </w:r>
      <w:r>
        <w:rPr>
          <w:rFonts w:ascii="Times New Roman" w:hAnsi="Times New Roman" w:eastAsia="方正仿宋简体" w:cs="Times New Roman"/>
          <w:sz w:val="32"/>
          <w:szCs w:val="32"/>
        </w:rPr>
        <w:t>省中</w:t>
      </w:r>
      <w:r>
        <w:rPr>
          <w:rFonts w:hint="eastAsia" w:ascii="Times New Roman" w:hAnsi="Times New Roman" w:eastAsia="方正仿宋简体" w:cs="Times New Roman"/>
          <w:sz w:val="32"/>
          <w:szCs w:val="32"/>
        </w:rPr>
        <w:t>长</w:t>
      </w:r>
      <w:r>
        <w:rPr>
          <w:rFonts w:ascii="Times New Roman" w:hAnsi="Times New Roman" w:eastAsia="方正仿宋简体" w:cs="Times New Roman"/>
          <w:sz w:val="32"/>
          <w:szCs w:val="32"/>
        </w:rPr>
        <w:t>期发展规划</w:t>
      </w:r>
      <w:r>
        <w:rPr>
          <w:rFonts w:hint="eastAsia" w:ascii="Times New Roman" w:hAnsi="Times New Roman" w:eastAsia="方正仿宋简体" w:cs="Times New Roman"/>
          <w:sz w:val="32"/>
          <w:szCs w:val="32"/>
        </w:rPr>
        <w:t>；</w:t>
      </w:r>
      <w:r>
        <w:rPr>
          <w:rFonts w:ascii="Times New Roman" w:hAnsi="Times New Roman" w:eastAsia="方正仿宋简体" w:cs="Times New Roman"/>
          <w:kern w:val="0"/>
          <w:sz w:val="32"/>
          <w:szCs w:val="32"/>
        </w:rPr>
        <w:t>循环经济产业园</w:t>
      </w:r>
      <w:r>
        <w:rPr>
          <w:rFonts w:hint="eastAsia" w:ascii="Times New Roman" w:hAnsi="Times New Roman" w:eastAsia="方正仿宋简体" w:cs="Times New Roman"/>
          <w:kern w:val="0"/>
          <w:sz w:val="32"/>
          <w:szCs w:val="32"/>
        </w:rPr>
        <w:t>稳评、安评通过专家评审，</w:t>
      </w:r>
      <w:r>
        <w:rPr>
          <w:rFonts w:ascii="Times New Roman" w:hAnsi="Times New Roman" w:eastAsia="方正仿宋简体" w:cs="Times New Roman"/>
          <w:kern w:val="0"/>
          <w:sz w:val="32"/>
          <w:szCs w:val="32"/>
        </w:rPr>
        <w:t>控规</w:t>
      </w:r>
      <w:r>
        <w:rPr>
          <w:rFonts w:hint="eastAsia" w:ascii="Times New Roman" w:hAnsi="Times New Roman" w:eastAsia="方正仿宋简体" w:cs="Times New Roman"/>
          <w:kern w:val="0"/>
          <w:sz w:val="32"/>
          <w:szCs w:val="32"/>
        </w:rPr>
        <w:t>已报</w:t>
      </w:r>
      <w:r>
        <w:rPr>
          <w:rFonts w:ascii="Times New Roman" w:hAnsi="Times New Roman" w:eastAsia="方正仿宋简体" w:cs="Times New Roman"/>
          <w:kern w:val="0"/>
          <w:sz w:val="32"/>
          <w:szCs w:val="32"/>
        </w:rPr>
        <w:t>市审查</w:t>
      </w:r>
      <w:r>
        <w:rPr>
          <w:rFonts w:ascii="Times New Roman" w:hAnsi="Times New Roman" w:eastAsia="方正仿宋简体" w:cs="Times New Roman"/>
          <w:sz w:val="32"/>
          <w:szCs w:val="32"/>
        </w:rPr>
        <w:t>；整区屋顶分布式光伏建设试点示范项目入选市2023年“十佳”低碳应用场景，分布式光伏累计并网规模达13.1万千瓦，较去年同期增长95.5%</w:t>
      </w:r>
      <w:r>
        <w:rPr>
          <w:rFonts w:hint="eastAsia" w:ascii="Times New Roman" w:hAnsi="Times New Roman" w:eastAsia="方正仿宋简体" w:cs="Times New Roman"/>
          <w:sz w:val="32"/>
          <w:szCs w:val="32"/>
        </w:rPr>
        <w:t>；国家生态文明建设示范区通过省级预审。</w:t>
      </w:r>
      <w:r>
        <w:rPr>
          <w:rFonts w:hint="eastAsia" w:ascii="Times New Roman" w:hAnsi="Times New Roman" w:eastAsia="方正仿宋简体" w:cs="Times New Roman"/>
          <w:b/>
          <w:bCs/>
          <w:sz w:val="32"/>
          <w:szCs w:val="32"/>
        </w:rPr>
        <w:t>污染防治不断深入</w:t>
      </w:r>
      <w:r>
        <w:rPr>
          <w:rFonts w:ascii="Times New Roman" w:hAnsi="Times New Roman" w:eastAsia="方正仿宋简体" w:cs="Times New Roman"/>
          <w:b/>
          <w:bCs/>
          <w:sz w:val="32"/>
          <w:szCs w:val="32"/>
        </w:rPr>
        <w:t>。</w:t>
      </w:r>
      <w:r>
        <w:rPr>
          <w:rFonts w:ascii="Times New Roman" w:hAnsi="Times New Roman" w:eastAsia="方正仿宋简体" w:cs="Times New Roman"/>
          <w:sz w:val="32"/>
          <w:szCs w:val="32"/>
        </w:rPr>
        <w:t>扎实推进中央环保督查交办事项整改落实，</w:t>
      </w:r>
      <w:r>
        <w:rPr>
          <w:rFonts w:ascii="Times New Roman" w:hAnsi="Times New Roman" w:eastAsia="方正仿宋_GBK" w:cs="Times New Roman"/>
          <w:sz w:val="32"/>
          <w:szCs w:val="32"/>
        </w:rPr>
        <w:t>全部信访件已完成市级销号；</w:t>
      </w:r>
      <w:r>
        <w:rPr>
          <w:rFonts w:hint="eastAsia" w:ascii="Times New Roman" w:hAnsi="Times New Roman" w:eastAsia="方正仿宋_GBK" w:cs="Times New Roman"/>
          <w:sz w:val="32"/>
          <w:szCs w:val="32"/>
        </w:rPr>
        <w:t>与毗邻地区常态化开展滁河污染联防联治，</w:t>
      </w:r>
      <w:r>
        <w:rPr>
          <w:rFonts w:ascii="Times New Roman" w:hAnsi="Times New Roman" w:eastAsia="方正仿宋_GBK" w:cs="Times New Roman"/>
          <w:sz w:val="32"/>
          <w:szCs w:val="32"/>
        </w:rPr>
        <w:t>国省考水质断面均达标，</w:t>
      </w:r>
      <w:r>
        <w:rPr>
          <w:rFonts w:ascii="Times New Roman" w:hAnsi="Times New Roman" w:eastAsia="方正仿宋简体"/>
          <w:color w:val="000000"/>
          <w:sz w:val="32"/>
          <w:szCs w:val="32"/>
        </w:rPr>
        <w:t>地表水环境质量位列全市第2</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龙袍圩、新集灌区获评国家级节水型灌区</w:t>
      </w:r>
      <w:r>
        <w:rPr>
          <w:rFonts w:ascii="Times New Roman" w:hAnsi="Times New Roman" w:eastAsia="方正仿宋_GBK" w:cs="Times New Roman"/>
          <w:sz w:val="32"/>
          <w:szCs w:val="32"/>
        </w:rPr>
        <w:t>；</w:t>
      </w:r>
      <w:r>
        <w:rPr>
          <w:rFonts w:ascii="Times New Roman" w:hAnsi="Times New Roman" w:eastAsia="方正仿宋简体" w:cs="Times New Roman"/>
          <w:kern w:val="0"/>
          <w:sz w:val="32"/>
          <w:szCs w:val="32"/>
        </w:rPr>
        <w:t>国</w:t>
      </w:r>
      <w:r>
        <w:rPr>
          <w:rFonts w:hint="eastAsia" w:ascii="Times New Roman" w:hAnsi="Times New Roman" w:eastAsia="方正仿宋简体" w:cs="Times New Roman"/>
          <w:kern w:val="0"/>
          <w:sz w:val="32"/>
          <w:szCs w:val="32"/>
        </w:rPr>
        <w:t>Ⅲ</w:t>
      </w:r>
      <w:r>
        <w:rPr>
          <w:rFonts w:ascii="Times New Roman" w:hAnsi="Times New Roman" w:eastAsia="方正仿宋简体" w:cs="Times New Roman"/>
          <w:kern w:val="0"/>
          <w:sz w:val="32"/>
          <w:szCs w:val="32"/>
        </w:rPr>
        <w:t>及以下柴油车淘汰完成率达84.6%</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sz w:val="32"/>
          <w:szCs w:val="32"/>
        </w:rPr>
        <w:t>实施雄州污水处理二厂二期工程，</w:t>
      </w:r>
      <w:r>
        <w:rPr>
          <w:rFonts w:ascii="Times New Roman" w:hAnsi="Times New Roman" w:eastAsia="方正仿宋简体"/>
          <w:color w:val="000000"/>
          <w:sz w:val="32"/>
          <w:szCs w:val="32"/>
        </w:rPr>
        <w:t>更新改造老旧供水管网</w:t>
      </w:r>
      <w:r>
        <w:rPr>
          <w:rFonts w:hint="eastAsia" w:ascii="Times New Roman" w:hAnsi="Times New Roman" w:eastAsia="方正仿宋简体"/>
          <w:color w:val="000000"/>
          <w:sz w:val="32"/>
          <w:szCs w:val="32"/>
        </w:rPr>
        <w:t>5.46</w:t>
      </w:r>
      <w:r>
        <w:rPr>
          <w:rFonts w:ascii="Times New Roman" w:hAnsi="Times New Roman" w:eastAsia="方正仿宋简体"/>
          <w:color w:val="000000"/>
          <w:sz w:val="32"/>
          <w:szCs w:val="32"/>
        </w:rPr>
        <w:t>公里，</w:t>
      </w:r>
      <w:r>
        <w:rPr>
          <w:rFonts w:ascii="Times New Roman" w:hAnsi="Times New Roman" w:eastAsia="方正仿宋简体" w:cs="Times New Roman"/>
          <w:sz w:val="32"/>
          <w:szCs w:val="32"/>
        </w:rPr>
        <w:t>打通城西片区生活污水收集处理通道，极乐泵站污水管网南延工程完成80%</w:t>
      </w:r>
      <w:r>
        <w:rPr>
          <w:rFonts w:ascii="Times New Roman" w:hAnsi="Times New Roman" w:eastAsia="方正仿宋简体" w:cs="Times New Roman"/>
          <w:kern w:val="0"/>
          <w:sz w:val="32"/>
          <w:szCs w:val="32"/>
        </w:rPr>
        <w:t>。</w:t>
      </w:r>
      <w:r>
        <w:rPr>
          <w:rFonts w:hint="eastAsia" w:ascii="Times New Roman" w:hAnsi="Times New Roman" w:eastAsia="方正仿宋简体" w:cs="Times New Roman"/>
          <w:b/>
          <w:bCs/>
          <w:sz w:val="32"/>
          <w:szCs w:val="32"/>
        </w:rPr>
        <w:t>低碳</w:t>
      </w:r>
      <w:r>
        <w:rPr>
          <w:rFonts w:ascii="Times New Roman" w:hAnsi="Times New Roman" w:eastAsia="方正仿宋简体" w:cs="Times New Roman"/>
          <w:b/>
          <w:bCs/>
          <w:sz w:val="32"/>
          <w:szCs w:val="32"/>
        </w:rPr>
        <w:t>城市加速构建。</w:t>
      </w:r>
      <w:r>
        <w:rPr>
          <w:rFonts w:ascii="Times New Roman" w:hAnsi="Times New Roman" w:eastAsia="方正仿宋简体" w:cs="Times New Roman"/>
          <w:sz w:val="32"/>
          <w:szCs w:val="32"/>
        </w:rPr>
        <w:t>新增造林814亩，修复退化林1555亩，森林抚育6487亩；完成5条背街小巷提档升级</w:t>
      </w:r>
      <w:r>
        <w:rPr>
          <w:rFonts w:hint="eastAsia" w:ascii="Times New Roman" w:hAnsi="Times New Roman" w:eastAsia="方正仿宋简体" w:cs="Times New Roman"/>
          <w:sz w:val="32"/>
          <w:szCs w:val="32"/>
        </w:rPr>
        <w:t>；全市首创</w:t>
      </w:r>
      <w:r>
        <w:rPr>
          <w:rFonts w:ascii="Times New Roman" w:hAnsi="Times New Roman" w:eastAsia="方正仿宋简体" w:cs="Times New Roman"/>
          <w:sz w:val="32"/>
          <w:szCs w:val="32"/>
        </w:rPr>
        <w:t>线上可回收物+大件垃圾一键预约小程序“洁小宝”</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提升居民垃圾分类</w:t>
      </w:r>
      <w:r>
        <w:rPr>
          <w:rFonts w:hint="eastAsia" w:ascii="Times New Roman" w:hAnsi="Times New Roman" w:eastAsia="方正仿宋简体" w:cs="Times New Roman"/>
          <w:sz w:val="32"/>
          <w:szCs w:val="32"/>
        </w:rPr>
        <w:t>便利性</w:t>
      </w:r>
      <w:r>
        <w:rPr>
          <w:rFonts w:hint="eastAsia" w:ascii="仿宋" w:hAnsi="仿宋" w:eastAsia="仿宋" w:cs="仿宋"/>
          <w:sz w:val="32"/>
          <w:szCs w:val="32"/>
        </w:rPr>
        <w:t>；</w:t>
      </w:r>
      <w:r>
        <w:rPr>
          <w:rFonts w:hint="eastAsia" w:ascii="方正仿宋简体" w:eastAsia="方正仿宋简体"/>
          <w:sz w:val="32"/>
          <w:szCs w:val="32"/>
        </w:rPr>
        <w:t>主城绿化有机更新</w:t>
      </w:r>
      <w:r>
        <w:rPr>
          <w:rFonts w:ascii="Times New Roman" w:hAnsi="Times New Roman" w:eastAsia="方正仿宋简体" w:cs="Times New Roman"/>
          <w:sz w:val="32"/>
          <w:szCs w:val="32"/>
        </w:rPr>
        <w:t>1.56万平方米，</w:t>
      </w:r>
      <w:r>
        <w:rPr>
          <w:rFonts w:ascii="Times New Roman" w:hAnsi="Times New Roman" w:eastAsia="方正仿宋简体" w:cs="Times New Roman"/>
          <w:spacing w:val="-2"/>
          <w:sz w:val="32"/>
          <w:szCs w:val="32"/>
        </w:rPr>
        <w:t>建成区绿地率达</w:t>
      </w:r>
      <w:r>
        <w:rPr>
          <w:rFonts w:hint="eastAsia" w:ascii="Times New Roman" w:hAnsi="Times New Roman" w:eastAsia="方正仿宋简体" w:cs="Times New Roman"/>
          <w:spacing w:val="-2"/>
          <w:sz w:val="32"/>
          <w:szCs w:val="32"/>
        </w:rPr>
        <w:t>40</w:t>
      </w:r>
      <w:r>
        <w:rPr>
          <w:rFonts w:ascii="Times New Roman" w:hAnsi="Times New Roman" w:eastAsia="方正仿宋简体" w:cs="Times New Roman"/>
          <w:spacing w:val="-2"/>
          <w:sz w:val="32"/>
          <w:szCs w:val="32"/>
        </w:rPr>
        <w:t>%</w:t>
      </w:r>
      <w:r>
        <w:rPr>
          <w:rFonts w:hint="eastAsia" w:ascii="Times New Roman" w:hAnsi="Times New Roman" w:eastAsia="方正仿宋简体" w:cs="Times New Roman"/>
          <w:spacing w:val="-2"/>
          <w:sz w:val="32"/>
          <w:szCs w:val="32"/>
        </w:rPr>
        <w:t>以上</w:t>
      </w:r>
      <w:r>
        <w:rPr>
          <w:rFonts w:hint="eastAsia" w:ascii="Times New Roman" w:hAnsi="Times New Roman" w:eastAsia="方正仿宋简体" w:cs="Times New Roman"/>
          <w:sz w:val="32"/>
          <w:szCs w:val="32"/>
        </w:rPr>
        <w:t>；</w:t>
      </w:r>
      <w:r>
        <w:rPr>
          <w:rFonts w:hint="eastAsia" w:ascii="Times New Roman" w:hAnsi="Times New Roman" w:eastAsia="方正仿宋简体"/>
          <w:sz w:val="32"/>
          <w:szCs w:val="32"/>
        </w:rPr>
        <w:t>香塘路东南角“口袋公园”纳入省民生实事项目，</w:t>
      </w:r>
      <w:r>
        <w:rPr>
          <w:rFonts w:hint="eastAsia" w:ascii="方正仿宋简体" w:eastAsia="方正仿宋简体"/>
          <w:sz w:val="32"/>
          <w:szCs w:val="32"/>
        </w:rPr>
        <w:t>凤凰山公园完成升级改造</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新建绿色建筑面积67.84万平方米，装配式建筑占新建建筑面积比例超50%，建筑垃圾资源化利用率约97%。</w:t>
      </w:r>
    </w:p>
    <w:p>
      <w:pPr>
        <w:pStyle w:val="2"/>
        <w:spacing w:line="550" w:lineRule="exact"/>
        <w:ind w:firstLine="643"/>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5</w:t>
      </w:r>
      <w:r>
        <w:rPr>
          <w:rFonts w:ascii="Times New Roman" w:hAnsi="Times New Roman" w:eastAsia="方正仿宋简体" w:cs="Times New Roman"/>
          <w:b/>
          <w:bCs/>
          <w:sz w:val="32"/>
          <w:szCs w:val="32"/>
        </w:rPr>
        <w:t>.民生</w:t>
      </w:r>
      <w:r>
        <w:rPr>
          <w:rFonts w:hint="eastAsia" w:ascii="Times New Roman" w:hAnsi="Times New Roman" w:eastAsia="方正仿宋简体" w:cs="Times New Roman"/>
          <w:b/>
          <w:bCs/>
          <w:sz w:val="32"/>
          <w:szCs w:val="32"/>
        </w:rPr>
        <w:t>工程加紧实施</w:t>
      </w:r>
      <w:r>
        <w:rPr>
          <w:rFonts w:ascii="Times New Roman" w:hAnsi="Times New Roman" w:eastAsia="方正仿宋简体" w:cs="Times New Roman"/>
          <w:b/>
          <w:bCs/>
          <w:sz w:val="32"/>
          <w:szCs w:val="32"/>
        </w:rPr>
        <w:t>，</w:t>
      </w:r>
      <w:bookmarkStart w:id="2" w:name="_Hlk141779046"/>
      <w:r>
        <w:rPr>
          <w:rFonts w:hint="eastAsia" w:ascii="Times New Roman" w:hAnsi="Times New Roman" w:eastAsia="方正仿宋简体" w:cs="Times New Roman"/>
          <w:b/>
          <w:bCs/>
          <w:sz w:val="32"/>
          <w:szCs w:val="32"/>
        </w:rPr>
        <w:t>治理水平明显提高</w:t>
      </w:r>
    </w:p>
    <w:bookmarkEnd w:id="2"/>
    <w:p>
      <w:pPr>
        <w:pStyle w:val="2"/>
        <w:spacing w:line="550" w:lineRule="exact"/>
        <w:ind w:firstLine="643"/>
        <w:rPr>
          <w:rFonts w:eastAsia="方正仿宋简体"/>
          <w:sz w:val="32"/>
          <w:szCs w:val="32"/>
        </w:rPr>
      </w:pPr>
      <w:r>
        <w:rPr>
          <w:rFonts w:ascii="Times New Roman" w:hAnsi="Times New Roman" w:eastAsia="方正仿宋简体" w:cs="Times New Roman"/>
          <w:b/>
          <w:bCs/>
          <w:sz w:val="32"/>
          <w:szCs w:val="32"/>
        </w:rPr>
        <w:t>公共服务</w:t>
      </w:r>
      <w:r>
        <w:rPr>
          <w:rFonts w:hint="eastAsia" w:ascii="Times New Roman" w:hAnsi="Times New Roman" w:eastAsia="方正仿宋简体" w:cs="Times New Roman"/>
          <w:b/>
          <w:bCs/>
          <w:sz w:val="32"/>
          <w:szCs w:val="32"/>
        </w:rPr>
        <w:t>能力增强</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sz w:val="32"/>
          <w:szCs w:val="32"/>
        </w:rPr>
        <w:t>九大类37项民生实事已完成5项，其余有序推进</w:t>
      </w:r>
      <w:r>
        <w:rPr>
          <w:rFonts w:hint="eastAsia" w:ascii="Times New Roman" w:hAnsi="Times New Roman" w:eastAsia="方正仿宋简体"/>
          <w:color w:val="000000"/>
          <w:sz w:val="32"/>
          <w:szCs w:val="32"/>
        </w:rPr>
        <w:t>；</w:t>
      </w:r>
      <w:r>
        <w:rPr>
          <w:rFonts w:ascii="Times New Roman" w:hAnsi="Times New Roman" w:eastAsia="方正仿宋简体" w:cs="Times New Roman"/>
          <w:sz w:val="32"/>
          <w:szCs w:val="32"/>
        </w:rPr>
        <w:t>区人民医院新病房楼建设进入内装阶段；雄州、竹镇、棠城社区卫生服务中心等项目</w:t>
      </w:r>
      <w:r>
        <w:rPr>
          <w:rFonts w:hint="eastAsia" w:ascii="Times New Roman" w:hAnsi="Times New Roman" w:eastAsia="方正仿宋简体" w:cs="Times New Roman"/>
          <w:sz w:val="32"/>
          <w:szCs w:val="32"/>
        </w:rPr>
        <w:t>按序推进</w:t>
      </w:r>
      <w:r>
        <w:rPr>
          <w:rFonts w:ascii="Times New Roman" w:hAnsi="Times New Roman" w:eastAsia="方正仿宋简体" w:cs="Times New Roman"/>
          <w:sz w:val="32"/>
          <w:szCs w:val="32"/>
        </w:rPr>
        <w:t>；</w:t>
      </w:r>
      <w:r>
        <w:rPr>
          <w:rFonts w:ascii="Times New Roman" w:hAnsi="Times New Roman" w:eastAsia="方正仿宋简体"/>
          <w:color w:val="000000"/>
          <w:sz w:val="32"/>
          <w:szCs w:val="32"/>
        </w:rPr>
        <w:t>完成国家卫生城市迎复审工作</w:t>
      </w:r>
      <w:bookmarkStart w:id="3" w:name="_Hlk141361653"/>
      <w:r>
        <w:rPr>
          <w:rFonts w:hint="eastAsia" w:ascii="Times New Roman" w:hAnsi="Times New Roman" w:eastAsia="方正仿宋简体"/>
          <w:color w:val="000000"/>
          <w:sz w:val="32"/>
          <w:szCs w:val="32"/>
        </w:rPr>
        <w:t>；</w:t>
      </w:r>
      <w:bookmarkEnd w:id="3"/>
      <w:r>
        <w:rPr>
          <w:rFonts w:hint="eastAsia" w:ascii="Times New Roman" w:hAnsi="Times New Roman" w:eastAsia="方正仿宋简体" w:cs="Times New Roman"/>
          <w:sz w:val="32"/>
          <w:szCs w:val="32"/>
        </w:rPr>
        <w:t>建成</w:t>
      </w:r>
      <w:r>
        <w:rPr>
          <w:rFonts w:ascii="Times New Roman" w:hAnsi="Times New Roman" w:eastAsia="方正仿宋简体" w:cs="Times New Roman"/>
          <w:sz w:val="32"/>
          <w:szCs w:val="32"/>
        </w:rPr>
        <w:t>旭光路中学、</w:t>
      </w:r>
      <w:r>
        <w:rPr>
          <w:rFonts w:ascii="Times New Roman" w:hAnsi="Times New Roman" w:eastAsia="方正仿宋简体"/>
          <w:color w:val="000000"/>
          <w:sz w:val="32"/>
          <w:szCs w:val="32"/>
        </w:rPr>
        <w:t>中专校综合教学楼</w:t>
      </w:r>
      <w:r>
        <w:rPr>
          <w:rFonts w:ascii="Times New Roman" w:hAnsi="Times New Roman" w:eastAsia="方正仿宋简体" w:cs="Times New Roman"/>
          <w:sz w:val="32"/>
          <w:szCs w:val="32"/>
        </w:rPr>
        <w:t>、程桥高中体育馆及5所幼儿园</w:t>
      </w:r>
      <w:r>
        <w:rPr>
          <w:rFonts w:hint="eastAsia" w:ascii="Times New Roman" w:hAnsi="Times New Roman" w:eastAsia="方正仿宋简体" w:cs="Times New Roman"/>
          <w:sz w:val="32"/>
          <w:szCs w:val="32"/>
        </w:rPr>
        <w:t>，</w:t>
      </w:r>
      <w:r>
        <w:rPr>
          <w:rFonts w:ascii="Times New Roman" w:hAnsi="Times New Roman" w:eastAsia="方正仿宋简体"/>
          <w:color w:val="000000"/>
          <w:sz w:val="32"/>
          <w:szCs w:val="32"/>
        </w:rPr>
        <w:t>励志高中揭牌投用</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新增普惠性民办园2所，</w:t>
      </w:r>
      <w:r>
        <w:rPr>
          <w:rFonts w:hint="eastAsia" w:ascii="Times New Roman" w:hAnsi="Times New Roman" w:eastAsia="方正仿宋简体" w:cs="Times New Roman"/>
          <w:sz w:val="32"/>
          <w:szCs w:val="32"/>
        </w:rPr>
        <w:t>公办及普惠性民办园就读幼儿比率达100%；鹭岛荣府幼儿园创成市优质幼儿园，省市优质园就读幼儿比率达92.14%；省</w:t>
      </w:r>
      <w:r>
        <w:rPr>
          <w:rFonts w:ascii="Times New Roman" w:hAnsi="Times New Roman" w:eastAsia="方正仿宋简体" w:cs="Times New Roman"/>
          <w:sz w:val="32"/>
          <w:szCs w:val="32"/>
        </w:rPr>
        <w:t>义务教育优质均衡发展区</w:t>
      </w:r>
      <w:r>
        <w:rPr>
          <w:rFonts w:hint="eastAsia" w:ascii="Times New Roman" w:hAnsi="Times New Roman" w:eastAsia="方正仿宋简体" w:cs="Times New Roman"/>
          <w:sz w:val="32"/>
          <w:szCs w:val="32"/>
        </w:rPr>
        <w:t>创建工作有序推进。</w:t>
      </w:r>
      <w:r>
        <w:rPr>
          <w:rFonts w:ascii="Times New Roman" w:hAnsi="Times New Roman" w:eastAsia="方正仿宋简体" w:cs="Times New Roman"/>
          <w:b/>
          <w:bCs/>
          <w:sz w:val="32"/>
          <w:szCs w:val="32"/>
        </w:rPr>
        <w:t>民生保障</w:t>
      </w:r>
      <w:r>
        <w:rPr>
          <w:rFonts w:hint="eastAsia" w:ascii="Times New Roman" w:hAnsi="Times New Roman" w:eastAsia="方正仿宋简体" w:cs="Times New Roman"/>
          <w:b/>
          <w:bCs/>
          <w:sz w:val="32"/>
          <w:szCs w:val="32"/>
        </w:rPr>
        <w:t>渐趋完善</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sz w:val="32"/>
          <w:szCs w:val="32"/>
        </w:rPr>
        <w:t>举办</w:t>
      </w:r>
      <w:r>
        <w:rPr>
          <w:rFonts w:ascii="Times New Roman" w:hAnsi="Times New Roman" w:eastAsia="方正仿宋简体" w:cs="Times New Roman"/>
          <w:sz w:val="32"/>
          <w:szCs w:val="32"/>
        </w:rPr>
        <w:t>线上线下招聘</w:t>
      </w:r>
      <w:r>
        <w:rPr>
          <w:rFonts w:hint="eastAsia" w:ascii="Times New Roman" w:hAnsi="Times New Roman" w:eastAsia="方正仿宋简体" w:cs="Times New Roman"/>
          <w:sz w:val="32"/>
          <w:szCs w:val="32"/>
        </w:rPr>
        <w:t>活动</w:t>
      </w:r>
      <w:r>
        <w:rPr>
          <w:rFonts w:ascii="Times New Roman" w:hAnsi="Times New Roman" w:eastAsia="方正仿宋简体" w:cs="Times New Roman"/>
          <w:sz w:val="32"/>
          <w:szCs w:val="32"/>
        </w:rPr>
        <w:t>135场，提供招聘职位</w:t>
      </w:r>
      <w:r>
        <w:rPr>
          <w:rFonts w:hint="eastAsia" w:ascii="Times New Roman" w:hAnsi="Times New Roman" w:eastAsia="方正仿宋简体" w:cs="Times New Roman"/>
          <w:sz w:val="32"/>
          <w:szCs w:val="32"/>
        </w:rPr>
        <w:t>约4</w:t>
      </w:r>
      <w:r>
        <w:rPr>
          <w:rFonts w:ascii="Times New Roman" w:hAnsi="Times New Roman" w:eastAsia="方正仿宋简体" w:cs="Times New Roman"/>
          <w:sz w:val="32"/>
          <w:szCs w:val="32"/>
        </w:rPr>
        <w:t>.18</w:t>
      </w:r>
      <w:r>
        <w:rPr>
          <w:rFonts w:hint="eastAsia" w:ascii="Times New Roman" w:hAnsi="Times New Roman" w:eastAsia="方正仿宋简体" w:cs="Times New Roman"/>
          <w:sz w:val="32"/>
          <w:szCs w:val="32"/>
        </w:rPr>
        <w:t>万</w:t>
      </w:r>
      <w:r>
        <w:rPr>
          <w:rFonts w:ascii="Times New Roman" w:hAnsi="Times New Roman" w:eastAsia="方正仿宋简体" w:cs="Times New Roman"/>
          <w:sz w:val="32"/>
          <w:szCs w:val="32"/>
        </w:rPr>
        <w:t>个次</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实现有劳动能力和有就业意愿退捕渔民100%转产就业；</w:t>
      </w:r>
      <w:r>
        <w:rPr>
          <w:rFonts w:hint="eastAsia" w:ascii="Times New Roman" w:hAnsi="Times New Roman" w:eastAsia="方正仿宋简体" w:cs="Times New Roman"/>
          <w:sz w:val="32"/>
          <w:szCs w:val="32"/>
        </w:rPr>
        <w:t>支持创业带动就业，发放</w:t>
      </w:r>
      <w:r>
        <w:rPr>
          <w:rFonts w:ascii="Times New Roman" w:hAnsi="Times New Roman" w:eastAsia="方正仿宋简体" w:cs="Times New Roman"/>
          <w:sz w:val="32"/>
          <w:szCs w:val="32"/>
        </w:rPr>
        <w:t>创业担保贷款616万元</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建成社区（村）居家养老服务中心107个，实现社区全覆盖；建成扬平公司西侧地块经济适用房</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龙华路周边1</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3号地块安置房</w:t>
      </w:r>
      <w:r>
        <w:rPr>
          <w:rFonts w:hint="eastAsia" w:ascii="Times New Roman" w:hAnsi="Times New Roman" w:eastAsia="方正仿宋简体" w:cs="Times New Roman"/>
          <w:sz w:val="32"/>
          <w:szCs w:val="32"/>
        </w:rPr>
        <w:t>项目加快建设；</w:t>
      </w:r>
      <w:r>
        <w:rPr>
          <w:rFonts w:ascii="Times New Roman" w:hAnsi="Times New Roman" w:eastAsia="方正仿宋简体" w:cs="Times New Roman"/>
          <w:sz w:val="32"/>
          <w:szCs w:val="32"/>
        </w:rPr>
        <w:t>棚户区改造工作获省政府督查激励</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
          <w:bCs/>
          <w:sz w:val="32"/>
          <w:szCs w:val="32"/>
        </w:rPr>
        <w:t>基层</w:t>
      </w:r>
      <w:r>
        <w:rPr>
          <w:rFonts w:ascii="Times New Roman" w:hAnsi="Times New Roman" w:eastAsia="方正仿宋简体" w:cs="Times New Roman"/>
          <w:b/>
          <w:bCs/>
          <w:sz w:val="32"/>
          <w:szCs w:val="32"/>
        </w:rPr>
        <w:t>治理</w:t>
      </w:r>
      <w:r>
        <w:rPr>
          <w:rFonts w:hint="eastAsia" w:ascii="Times New Roman" w:hAnsi="Times New Roman" w:eastAsia="方正仿宋简体" w:cs="Times New Roman"/>
          <w:b/>
          <w:bCs/>
          <w:sz w:val="32"/>
          <w:szCs w:val="32"/>
        </w:rPr>
        <w:t>成效突出</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sz w:val="32"/>
          <w:szCs w:val="32"/>
        </w:rPr>
        <w:t>开展重大事故隐患排查整治行动、安全生产风险专项整治巩固提升年暨“治本攻坚”工作，排查整治一般隐患6347条、重大隐患18条</w:t>
      </w:r>
      <w:r>
        <w:rPr>
          <w:rFonts w:hint="eastAsia" w:ascii="Times New Roman" w:hAnsi="Times New Roman" w:eastAsia="方正仿宋简体" w:cs="Times New Roman"/>
          <w:sz w:val="32"/>
          <w:szCs w:val="32"/>
          <w:lang w:bidi="ar"/>
        </w:rPr>
        <w:t>；</w:t>
      </w:r>
      <w:r>
        <w:rPr>
          <w:rFonts w:hint="eastAsia" w:ascii="Times New Roman" w:hAnsi="Times New Roman" w:eastAsia="方正仿宋简体" w:cs="Times New Roman"/>
          <w:sz w:val="32"/>
          <w:szCs w:val="32"/>
        </w:rPr>
        <w:t>推进“精网微格”工程，</w:t>
      </w:r>
      <w:r>
        <w:rPr>
          <w:rFonts w:ascii="Times New Roman" w:hAnsi="Times New Roman" w:eastAsia="方正仿宋简体" w:cs="Times New Roman"/>
          <w:sz w:val="32"/>
          <w:szCs w:val="32"/>
        </w:rPr>
        <w:t>统筹“1+6+N”基层治理力量向网格聚焦，</w:t>
      </w:r>
      <w:r>
        <w:rPr>
          <w:rFonts w:hint="eastAsia" w:ascii="Times New Roman" w:hAnsi="Times New Roman" w:eastAsia="方正仿宋简体" w:cs="Times New Roman"/>
          <w:sz w:val="32"/>
          <w:szCs w:val="32"/>
        </w:rPr>
        <w:t>完善</w:t>
      </w:r>
      <w:r>
        <w:rPr>
          <w:rFonts w:ascii="Times New Roman" w:hAnsi="Times New Roman" w:eastAsia="方正仿宋简体" w:cs="Times New Roman"/>
          <w:sz w:val="32"/>
          <w:szCs w:val="32"/>
        </w:rPr>
        <w:t>三级调解平台体系化建设，调解矛盾纠纷9357起；“1+9”矛盾纠纷多元化解体系获评全国创新</w:t>
      </w:r>
      <w:r>
        <w:rPr>
          <w:rFonts w:hint="eastAsia" w:ascii="Times New Roman" w:hAnsi="Times New Roman" w:eastAsia="方正仿宋简体" w:cs="Times New Roman"/>
          <w:sz w:val="32"/>
          <w:szCs w:val="32"/>
        </w:rPr>
        <w:t>社会治理典型</w:t>
      </w:r>
      <w:r>
        <w:rPr>
          <w:rFonts w:ascii="Times New Roman" w:hAnsi="Times New Roman" w:eastAsia="方正仿宋简体" w:cs="Times New Roman"/>
          <w:sz w:val="32"/>
          <w:szCs w:val="32"/>
        </w:rPr>
        <w:t>十佳案例；</w:t>
      </w:r>
      <w:r>
        <w:rPr>
          <w:rFonts w:ascii="Times New Roman" w:hAnsi="Times New Roman" w:eastAsia="方正仿宋简体" w:cs="Times New Roman"/>
          <w:sz w:val="32"/>
          <w:szCs w:val="32"/>
          <w:lang w:val="zh-CN"/>
        </w:rPr>
        <w:t>群众安全感满</w:t>
      </w:r>
      <w:r>
        <w:rPr>
          <w:rFonts w:ascii="Times New Roman" w:hAnsi="Times New Roman" w:eastAsia="方正仿宋简体" w:cs="Times New Roman"/>
          <w:sz w:val="32"/>
          <w:szCs w:val="32"/>
        </w:rPr>
        <w:t>意率</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网格化知晓率</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常态化扫黑除恶工作成效满意率</w:t>
      </w:r>
      <w:r>
        <w:rPr>
          <w:rFonts w:hint="eastAsia" w:ascii="Times New Roman" w:hAnsi="Times New Roman" w:eastAsia="方正仿宋简体" w:cs="Times New Roman"/>
          <w:sz w:val="32"/>
          <w:szCs w:val="32"/>
        </w:rPr>
        <w:t>等指标保持全市前列；</w:t>
      </w:r>
      <w:r>
        <w:rPr>
          <w:rFonts w:ascii="Times New Roman" w:hAnsi="Times New Roman" w:eastAsia="方正仿宋简体"/>
          <w:color w:val="000000"/>
          <w:sz w:val="32"/>
          <w:szCs w:val="32"/>
        </w:rPr>
        <w:t>省交办信访事项全部化解，“国治件”办结率位居全市前列</w:t>
      </w:r>
      <w:r>
        <w:rPr>
          <w:rFonts w:hint="eastAsia" w:ascii="Times New Roman" w:hAnsi="Times New Roman" w:eastAsia="方正仿宋简体" w:cs="Times New Roman"/>
          <w:sz w:val="32"/>
          <w:szCs w:val="32"/>
        </w:rPr>
        <w:t>，获评“全国信访工作示范县”。</w:t>
      </w:r>
    </w:p>
    <w:p>
      <w:pPr>
        <w:pStyle w:val="2"/>
        <w:spacing w:line="550" w:lineRule="exact"/>
        <w:ind w:firstLine="640"/>
        <w:rPr>
          <w:rFonts w:eastAsia="方正仿宋简体"/>
          <w:sz w:val="32"/>
          <w:szCs w:val="32"/>
        </w:rPr>
      </w:pPr>
      <w:r>
        <w:rPr>
          <w:rFonts w:hint="eastAsia" w:ascii="方正仿宋简体" w:eastAsia="方正仿宋简体"/>
          <w:sz w:val="32"/>
          <w:szCs w:val="32"/>
          <w:lang w:bidi="ar"/>
        </w:rPr>
        <w:t>上半年，随着疫情防控平稳转段，各项政策举措靠前发力，全区</w:t>
      </w:r>
      <w:r>
        <w:rPr>
          <w:rFonts w:ascii="方正仿宋简体" w:eastAsia="方正仿宋简体"/>
          <w:sz w:val="32"/>
          <w:szCs w:val="32"/>
          <w:lang w:bidi="ar"/>
        </w:rPr>
        <w:t>经济</w:t>
      </w:r>
      <w:r>
        <w:rPr>
          <w:rFonts w:hint="eastAsia" w:ascii="方正仿宋简体" w:eastAsia="方正仿宋简体"/>
          <w:sz w:val="32"/>
          <w:szCs w:val="32"/>
          <w:lang w:bidi="ar"/>
        </w:rPr>
        <w:t>社会发展</w:t>
      </w:r>
      <w:r>
        <w:rPr>
          <w:rFonts w:ascii="方正仿宋简体" w:eastAsia="方正仿宋简体"/>
          <w:sz w:val="32"/>
          <w:szCs w:val="32"/>
          <w:lang w:bidi="ar"/>
        </w:rPr>
        <w:t>稳中有进</w:t>
      </w:r>
      <w:r>
        <w:rPr>
          <w:rFonts w:hint="eastAsia" w:ascii="方正仿宋简体" w:eastAsia="方正仿宋简体"/>
          <w:sz w:val="32"/>
          <w:szCs w:val="32"/>
          <w:lang w:bidi="ar"/>
        </w:rPr>
        <w:t>，但仍然存在一些问题。比如，重大产业项目、外商投资项目偏少，工业经济后劲不足；区域消费增长乏力，亟需培育新的消费热点；外向型企业竞争力不强，订单流失、效益下滑；</w:t>
      </w:r>
      <w:r>
        <w:rPr>
          <w:rFonts w:ascii="Times New Roman" w:hAnsi="Times New Roman" w:eastAsia="方正仿宋简体" w:cs="Times New Roman"/>
          <w:kern w:val="0"/>
          <w:sz w:val="32"/>
          <w:szCs w:val="32"/>
        </w:rPr>
        <w:t>具有引领示范性的改革亮点</w:t>
      </w:r>
      <w:r>
        <w:rPr>
          <w:rFonts w:hint="eastAsia" w:ascii="Times New Roman" w:hAnsi="Times New Roman" w:eastAsia="方正仿宋简体" w:cs="Times New Roman"/>
          <w:kern w:val="0"/>
          <w:sz w:val="32"/>
          <w:szCs w:val="32"/>
        </w:rPr>
        <w:t>不多；</w:t>
      </w:r>
      <w:r>
        <w:rPr>
          <w:rFonts w:hint="eastAsia" w:eastAsia="仿宋"/>
          <w:sz w:val="32"/>
          <w:szCs w:val="32"/>
          <w:lang w:bidi="ar"/>
        </w:rPr>
        <w:t>公共服务水平、</w:t>
      </w:r>
      <w:r>
        <w:rPr>
          <w:rFonts w:ascii="Times New Roman" w:hAnsi="Times New Roman" w:eastAsia="方正仿宋简体" w:cs="Times New Roman"/>
          <w:kern w:val="0"/>
          <w:sz w:val="32"/>
          <w:szCs w:val="32"/>
        </w:rPr>
        <w:t>城市安全韧性</w:t>
      </w:r>
      <w:r>
        <w:rPr>
          <w:rFonts w:hint="eastAsia" w:ascii="Times New Roman" w:hAnsi="Times New Roman" w:eastAsia="方正仿宋简体" w:cs="Times New Roman"/>
          <w:kern w:val="0"/>
          <w:sz w:val="32"/>
          <w:szCs w:val="32"/>
        </w:rPr>
        <w:t>有待进一步</w:t>
      </w:r>
      <w:r>
        <w:rPr>
          <w:rFonts w:ascii="Times New Roman" w:hAnsi="Times New Roman" w:eastAsia="方正仿宋简体" w:cs="Times New Roman"/>
          <w:kern w:val="0"/>
          <w:sz w:val="32"/>
          <w:szCs w:val="32"/>
        </w:rPr>
        <w:t>提升</w:t>
      </w:r>
      <w:r>
        <w:rPr>
          <w:rFonts w:hint="eastAsia" w:ascii="Times New Roman" w:hAnsi="Times New Roman" w:eastAsia="方正仿宋简体" w:cs="Times New Roman"/>
          <w:kern w:val="0"/>
          <w:sz w:val="32"/>
          <w:szCs w:val="32"/>
        </w:rPr>
        <w:t>。上述问题</w:t>
      </w:r>
      <w:r>
        <w:rPr>
          <w:rFonts w:ascii="Times New Roman" w:hAnsi="Times New Roman" w:eastAsia="方正仿宋简体" w:cs="Times New Roman"/>
          <w:kern w:val="0"/>
          <w:sz w:val="32"/>
          <w:szCs w:val="32"/>
        </w:rPr>
        <w:t>，我们将高度重视，采取有效措施、认真加以解决。</w:t>
      </w:r>
    </w:p>
    <w:p>
      <w:pPr>
        <w:spacing w:line="550" w:lineRule="exact"/>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二、下半年工作</w:t>
      </w:r>
      <w:r>
        <w:rPr>
          <w:rFonts w:hint="eastAsia" w:ascii="Times New Roman" w:hAnsi="Times New Roman" w:eastAsia="方正黑体简体" w:cs="Times New Roman"/>
          <w:sz w:val="32"/>
          <w:szCs w:val="32"/>
        </w:rPr>
        <w:t>打算</w:t>
      </w:r>
    </w:p>
    <w:p>
      <w:pPr>
        <w:spacing w:line="55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下半年，</w:t>
      </w:r>
      <w:r>
        <w:rPr>
          <w:rFonts w:ascii="Times New Roman" w:hAnsi="Times New Roman" w:eastAsia="方正仿宋简体"/>
          <w:color w:val="000000"/>
          <w:sz w:val="32"/>
          <w:szCs w:val="32"/>
        </w:rPr>
        <w:t>我们将把学习宣传贯彻习近平总书记考察江苏重要讲话精神作为重大政治任务，</w:t>
      </w:r>
      <w:r>
        <w:rPr>
          <w:rFonts w:hint="eastAsia" w:ascii="Times New Roman" w:hAnsi="Times New Roman" w:eastAsia="方正仿宋简体"/>
          <w:color w:val="000000"/>
          <w:sz w:val="32"/>
          <w:szCs w:val="32"/>
        </w:rPr>
        <w:t>紧扣</w:t>
      </w:r>
      <w:r>
        <w:rPr>
          <w:rFonts w:hint="eastAsia" w:ascii="Times New Roman" w:hAnsi="Times New Roman" w:eastAsia="方正仿宋简体" w:cs="Times New Roman"/>
          <w:kern w:val="0"/>
          <w:sz w:val="32"/>
          <w:szCs w:val="32"/>
        </w:rPr>
        <w:t>7月2</w:t>
      </w:r>
      <w:r>
        <w:rPr>
          <w:rFonts w:ascii="Times New Roman" w:hAnsi="Times New Roman" w:eastAsia="方正仿宋简体" w:cs="Times New Roman"/>
          <w:kern w:val="0"/>
          <w:sz w:val="32"/>
          <w:szCs w:val="32"/>
        </w:rPr>
        <w:t>4</w:t>
      </w:r>
      <w:r>
        <w:rPr>
          <w:rFonts w:hint="eastAsia" w:ascii="Times New Roman" w:hAnsi="Times New Roman" w:eastAsia="方正仿宋简体" w:cs="Times New Roman"/>
          <w:kern w:val="0"/>
          <w:sz w:val="32"/>
          <w:szCs w:val="32"/>
        </w:rPr>
        <w:t>日中央政治局会议对</w:t>
      </w:r>
      <w:r>
        <w:rPr>
          <w:rFonts w:hint="eastAsia" w:ascii="Times New Roman" w:hAnsi="Times New Roman" w:eastAsia="方正仿宋简体"/>
          <w:color w:val="000000"/>
          <w:sz w:val="32"/>
          <w:szCs w:val="32"/>
        </w:rPr>
        <w:t>下半年经济工作的部署，以“五拼五比晒五榜”竞赛活动以及“十四五”规划中期评估工作为抓手，</w:t>
      </w:r>
      <w:r>
        <w:rPr>
          <w:rFonts w:ascii="Times New Roman" w:hAnsi="Times New Roman" w:eastAsia="方正仿宋简体"/>
          <w:color w:val="000000"/>
          <w:sz w:val="32"/>
          <w:szCs w:val="32"/>
        </w:rPr>
        <w:t>扎实推进各项工作任务，</w:t>
      </w:r>
      <w:r>
        <w:rPr>
          <w:rFonts w:hint="eastAsia" w:ascii="Times New Roman" w:hAnsi="Times New Roman" w:eastAsia="方正仿宋简体"/>
          <w:color w:val="000000"/>
          <w:sz w:val="32"/>
          <w:szCs w:val="32"/>
        </w:rPr>
        <w:t>不折不扣完成年度目标，推动六合经济社会发展取得新业绩。</w:t>
      </w:r>
    </w:p>
    <w:p>
      <w:pPr>
        <w:spacing w:line="550" w:lineRule="exact"/>
        <w:ind w:firstLine="640" w:firstLineChars="200"/>
        <w:rPr>
          <w:rFonts w:ascii="Times New Roman" w:hAnsi="Times New Roman" w:eastAsia="方正仿宋简体" w:cs="Times New Roman"/>
          <w:kern w:val="0"/>
          <w:sz w:val="32"/>
          <w:szCs w:val="32"/>
        </w:rPr>
      </w:pPr>
      <w:r>
        <w:rPr>
          <w:rFonts w:hint="eastAsia" w:ascii="方正楷体简体" w:hAnsi="Times New Roman" w:eastAsia="方正楷体简体" w:cs="Times New Roman"/>
          <w:kern w:val="0"/>
          <w:sz w:val="32"/>
          <w:szCs w:val="32"/>
        </w:rPr>
        <w:t>一是聚焦年度目标任务，进一步强化组织调度。</w:t>
      </w:r>
      <w:r>
        <w:rPr>
          <w:rFonts w:hint="eastAsia" w:ascii="Times New Roman" w:hAnsi="Times New Roman" w:eastAsia="方正仿宋简体" w:cs="Times New Roman"/>
          <w:kern w:val="0"/>
          <w:sz w:val="32"/>
          <w:szCs w:val="32"/>
        </w:rPr>
        <w:t>加强主要经济指标调度力度，抓好运行监测，密切关注地区生产总值、社零、外资、外贸等薄弱指标及相关行业情况，跟踪重点企业生产经营状况，及时解决经济运行中出现的问题，以旬保月、以月保季、以季保年，确保全年计划目标高质量完成。</w:t>
      </w:r>
      <w:r>
        <w:rPr>
          <w:rFonts w:ascii="Times New Roman" w:hAnsi="Times New Roman" w:eastAsia="方正仿宋简体" w:cs="Times New Roman"/>
          <w:kern w:val="0"/>
          <w:sz w:val="32"/>
          <w:szCs w:val="32"/>
        </w:rPr>
        <w:t>紧盯教育医疗</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生态环保等民生热点</w:t>
      </w:r>
      <w:r>
        <w:rPr>
          <w:rFonts w:hint="eastAsia" w:ascii="Times New Roman" w:hAnsi="Times New Roman" w:eastAsia="方正仿宋简体" w:cs="Times New Roman"/>
          <w:kern w:val="0"/>
          <w:sz w:val="32"/>
          <w:szCs w:val="32"/>
        </w:rPr>
        <w:t>，对标对表抓落实，</w:t>
      </w:r>
      <w:r>
        <w:rPr>
          <w:rFonts w:ascii="Times New Roman" w:hAnsi="Times New Roman" w:eastAsia="方正仿宋简体" w:cs="Times New Roman"/>
          <w:kern w:val="0"/>
          <w:sz w:val="32"/>
          <w:szCs w:val="32"/>
        </w:rPr>
        <w:t>全力补齐上半年工作欠账</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全力提升发展速度</w:t>
      </w:r>
      <w:r>
        <w:rPr>
          <w:rFonts w:hint="eastAsia" w:ascii="Times New Roman" w:hAnsi="Times New Roman" w:eastAsia="方正仿宋简体" w:cs="Times New Roman"/>
          <w:kern w:val="0"/>
          <w:sz w:val="32"/>
          <w:szCs w:val="32"/>
        </w:rPr>
        <w:t>，赶上进度，</w:t>
      </w:r>
      <w:r>
        <w:rPr>
          <w:rFonts w:ascii="Times New Roman" w:hAnsi="Times New Roman" w:eastAsia="方正仿宋简体" w:cs="Times New Roman"/>
          <w:kern w:val="0"/>
          <w:sz w:val="32"/>
          <w:szCs w:val="32"/>
        </w:rPr>
        <w:t>确保全面完成年度各项目标任务</w:t>
      </w:r>
      <w:r>
        <w:rPr>
          <w:rFonts w:hint="eastAsia" w:ascii="Times New Roman" w:hAnsi="Times New Roman" w:eastAsia="方正仿宋简体" w:cs="Times New Roman"/>
          <w:kern w:val="0"/>
          <w:sz w:val="32"/>
          <w:szCs w:val="32"/>
        </w:rPr>
        <w:t>。</w:t>
      </w:r>
    </w:p>
    <w:p>
      <w:pPr>
        <w:pStyle w:val="2"/>
        <w:spacing w:line="550" w:lineRule="exact"/>
        <w:ind w:firstLine="640"/>
        <w:rPr>
          <w:rFonts w:eastAsia="方正仿宋简体" w:cs="Times New Roman"/>
          <w:szCs w:val="32"/>
        </w:rPr>
      </w:pPr>
      <w:r>
        <w:rPr>
          <w:rFonts w:hint="eastAsia" w:ascii="方正楷体简体" w:hAnsi="Times New Roman" w:eastAsia="方正楷体简体" w:cs="Times New Roman"/>
          <w:kern w:val="0"/>
          <w:sz w:val="32"/>
          <w:szCs w:val="32"/>
        </w:rPr>
        <w:t>二是聚焦创新发展引领，进一步提升产业质效。</w:t>
      </w:r>
      <w:r>
        <w:rPr>
          <w:rFonts w:ascii="Times New Roman" w:hAnsi="Times New Roman" w:eastAsia="方正仿宋简体" w:cs="Times New Roman"/>
          <w:kern w:val="0"/>
          <w:sz w:val="32"/>
          <w:szCs w:val="32"/>
        </w:rPr>
        <w:t>稳步推进与南航、中国矿大等高校合作，逐步构建“政产学研用”一体化创新体系，形成“一港两片区”研产城融合发展的高科技产业集聚区。</w:t>
      </w:r>
      <w:r>
        <w:rPr>
          <w:rFonts w:hint="eastAsia" w:ascii="Times New Roman" w:hAnsi="Times New Roman" w:eastAsia="方正仿宋简体" w:cs="Times New Roman"/>
          <w:kern w:val="0"/>
          <w:sz w:val="32"/>
          <w:szCs w:val="32"/>
        </w:rPr>
        <w:t>加快培育壮大战略性新兴产业，</w:t>
      </w:r>
      <w:r>
        <w:rPr>
          <w:rFonts w:ascii="Times New Roman" w:hAnsi="Times New Roman" w:eastAsia="方正仿宋简体"/>
          <w:kern w:val="0"/>
          <w:sz w:val="32"/>
          <w:szCs w:val="32"/>
        </w:rPr>
        <w:t>推动江苏国轩、兰精莫代尔等</w:t>
      </w:r>
      <w:r>
        <w:rPr>
          <w:rFonts w:hint="eastAsia" w:ascii="Times New Roman" w:hAnsi="Times New Roman" w:eastAsia="方正仿宋简体"/>
          <w:kern w:val="0"/>
          <w:sz w:val="32"/>
          <w:szCs w:val="32"/>
        </w:rPr>
        <w:t>项目</w:t>
      </w:r>
      <w:r>
        <w:rPr>
          <w:rFonts w:ascii="Times New Roman" w:hAnsi="Times New Roman" w:eastAsia="方正仿宋简体"/>
          <w:kern w:val="0"/>
          <w:sz w:val="32"/>
          <w:szCs w:val="32"/>
        </w:rPr>
        <w:t>尽快投产达产，形成</w:t>
      </w:r>
      <w:r>
        <w:rPr>
          <w:rFonts w:hint="eastAsia" w:ascii="Times New Roman" w:hAnsi="Times New Roman" w:eastAsia="方正仿宋简体"/>
          <w:kern w:val="0"/>
          <w:sz w:val="32"/>
          <w:szCs w:val="32"/>
        </w:rPr>
        <w:t>更多</w:t>
      </w:r>
      <w:r>
        <w:rPr>
          <w:rFonts w:ascii="Times New Roman" w:hAnsi="Times New Roman" w:eastAsia="方正仿宋简体"/>
          <w:kern w:val="0"/>
          <w:sz w:val="32"/>
          <w:szCs w:val="32"/>
        </w:rPr>
        <w:t>实物量、价值量</w:t>
      </w:r>
      <w:r>
        <w:rPr>
          <w:rFonts w:hint="eastAsia" w:ascii="Times New Roman" w:hAnsi="Times New Roman" w:eastAsia="方正仿宋简体"/>
          <w:kern w:val="0"/>
          <w:sz w:val="32"/>
          <w:szCs w:val="32"/>
        </w:rPr>
        <w:t>。积极</w:t>
      </w:r>
      <w:r>
        <w:rPr>
          <w:rFonts w:ascii="Times New Roman" w:hAnsi="Times New Roman" w:eastAsia="方正仿宋简体"/>
          <w:kern w:val="0"/>
          <w:sz w:val="32"/>
          <w:szCs w:val="32"/>
        </w:rPr>
        <w:t>营造消费新场景，用好首店政策，</w:t>
      </w:r>
      <w:r>
        <w:rPr>
          <w:rFonts w:hint="eastAsia" w:ascii="Times New Roman" w:hAnsi="Times New Roman" w:eastAsia="方正仿宋简体"/>
          <w:kern w:val="0"/>
          <w:sz w:val="32"/>
          <w:szCs w:val="32"/>
        </w:rPr>
        <w:t>提振汽车、电子产品、家居等大宗消费，推动体育休闲、文化旅游等服务消费，促进消费稳步恢复和扩大</w:t>
      </w:r>
      <w:r>
        <w:rPr>
          <w:rFonts w:ascii="Times New Roman" w:hAnsi="Times New Roman" w:eastAsia="方正仿宋简体"/>
          <w:kern w:val="0"/>
          <w:sz w:val="32"/>
          <w:szCs w:val="32"/>
        </w:rPr>
        <w:t>。多举措激发民间投资活力，提升民间投资活跃度</w:t>
      </w:r>
      <w:r>
        <w:rPr>
          <w:rFonts w:hint="eastAsia" w:ascii="Times New Roman" w:hAnsi="Times New Roman" w:eastAsia="方正仿宋简体"/>
          <w:kern w:val="0"/>
          <w:sz w:val="32"/>
          <w:szCs w:val="32"/>
        </w:rPr>
        <w:t>。</w:t>
      </w:r>
    </w:p>
    <w:p>
      <w:pPr>
        <w:pStyle w:val="2"/>
        <w:spacing w:line="550" w:lineRule="exact"/>
        <w:ind w:firstLine="640"/>
        <w:rPr>
          <w:rFonts w:eastAsia="方正仿宋简体" w:cs="Times New Roman"/>
          <w:szCs w:val="32"/>
        </w:rPr>
      </w:pPr>
      <w:r>
        <w:rPr>
          <w:rFonts w:hint="eastAsia" w:ascii="方正楷体简体" w:hAnsi="Times New Roman" w:eastAsia="方正楷体简体" w:cs="Times New Roman"/>
          <w:sz w:val="32"/>
          <w:szCs w:val="32"/>
        </w:rPr>
        <w:t>三是聚焦重点领域改革，进一步释放发展动能。</w:t>
      </w:r>
      <w:r>
        <w:rPr>
          <w:rFonts w:ascii="Times New Roman" w:hAnsi="Times New Roman" w:eastAsia="方正仿宋简体" w:cs="Times New Roman"/>
          <w:sz w:val="32"/>
          <w:szCs w:val="32"/>
        </w:rPr>
        <w:t>深化“便企E站”“一站通办”，推进涉企事项“全区通办”、涉外事项“全市通办”，</w:t>
      </w:r>
      <w:r>
        <w:rPr>
          <w:rFonts w:hint="eastAsia" w:ascii="Times New Roman" w:hAnsi="Times New Roman" w:eastAsia="方正仿宋简体" w:cs="Times New Roman"/>
          <w:sz w:val="32"/>
          <w:szCs w:val="32"/>
        </w:rPr>
        <w:t>提升</w:t>
      </w:r>
      <w:r>
        <w:rPr>
          <w:rFonts w:ascii="Times New Roman" w:hAnsi="Times New Roman" w:eastAsia="方正仿宋简体" w:cs="Times New Roman"/>
          <w:sz w:val="32"/>
          <w:szCs w:val="32"/>
        </w:rPr>
        <w:t>一体化政务服务能力，</w:t>
      </w:r>
      <w:r>
        <w:rPr>
          <w:rFonts w:hint="eastAsia" w:ascii="Times New Roman" w:hAnsi="Times New Roman" w:eastAsia="方正仿宋简体" w:cs="Times New Roman"/>
          <w:sz w:val="32"/>
          <w:szCs w:val="32"/>
        </w:rPr>
        <w:t>完善</w:t>
      </w:r>
      <w:r>
        <w:rPr>
          <w:rFonts w:ascii="Times New Roman" w:hAnsi="Times New Roman" w:eastAsia="方正仿宋简体" w:cs="Times New Roman"/>
          <w:sz w:val="32"/>
          <w:szCs w:val="32"/>
        </w:rPr>
        <w:t>“合心意”信息化建设，开发更多便民利企应用场景</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持续发力审批质效提升，以“审批扁平化”助推“项目加速度”，推进工业用地“带方案挂牌+拿地即开工”</w:t>
      </w:r>
      <w:r>
        <w:rPr>
          <w:rFonts w:hint="eastAsia" w:ascii="Times New Roman" w:hAnsi="Times New Roman" w:eastAsia="方正仿宋简体" w:cs="Times New Roman"/>
          <w:sz w:val="32"/>
          <w:szCs w:val="32"/>
        </w:rPr>
        <w:t>常态化</w:t>
      </w:r>
      <w:r>
        <w:rPr>
          <w:rFonts w:ascii="Times New Roman" w:hAnsi="Times New Roman" w:eastAsia="方正仿宋简体" w:cs="Times New Roman"/>
          <w:sz w:val="32"/>
          <w:szCs w:val="32"/>
        </w:rPr>
        <w:t>，完善建设工程联合验收机制。</w:t>
      </w:r>
      <w:r>
        <w:rPr>
          <w:rFonts w:ascii="Times New Roman" w:hAnsi="Times New Roman" w:eastAsia="方正仿宋简体"/>
          <w:kern w:val="0"/>
          <w:sz w:val="32"/>
          <w:szCs w:val="32"/>
        </w:rPr>
        <w:t>按照“一体化、扁平化、协同化”思路深化招商体制机制改革，紧扣招大引强、增资扩股、大规模技改、外商投资等，着力培育引进一批大项目好项目，</w:t>
      </w:r>
      <w:r>
        <w:rPr>
          <w:rFonts w:hint="eastAsia" w:ascii="Times New Roman" w:hAnsi="Times New Roman" w:eastAsia="方正仿宋简体"/>
          <w:kern w:val="0"/>
          <w:sz w:val="32"/>
          <w:szCs w:val="32"/>
        </w:rPr>
        <w:t>力争</w:t>
      </w:r>
      <w:r>
        <w:rPr>
          <w:rFonts w:ascii="Times New Roman" w:hAnsi="Times New Roman" w:eastAsia="方正仿宋简体"/>
          <w:kern w:val="0"/>
          <w:sz w:val="32"/>
          <w:szCs w:val="32"/>
        </w:rPr>
        <w:t>在</w:t>
      </w:r>
      <w:r>
        <w:rPr>
          <w:rFonts w:hint="eastAsia" w:ascii="Times New Roman" w:hAnsi="Times New Roman" w:eastAsia="方正仿宋简体"/>
          <w:kern w:val="0"/>
          <w:sz w:val="32"/>
          <w:szCs w:val="32"/>
        </w:rPr>
        <w:t>重大</w:t>
      </w:r>
      <w:r>
        <w:rPr>
          <w:rFonts w:ascii="Times New Roman" w:hAnsi="Times New Roman" w:eastAsia="方正仿宋简体"/>
          <w:kern w:val="0"/>
          <w:sz w:val="32"/>
          <w:szCs w:val="32"/>
        </w:rPr>
        <w:t>产业项目上取得新突破，以项目的“稳中求进”为经济发展增添新动能。</w:t>
      </w:r>
    </w:p>
    <w:p>
      <w:pPr>
        <w:pStyle w:val="2"/>
        <w:spacing w:line="550" w:lineRule="exact"/>
        <w:ind w:firstLine="640"/>
        <w:rPr>
          <w:rFonts w:ascii="Times New Roman" w:hAnsi="Times New Roman" w:eastAsia="方正仿宋简体" w:cs="Times New Roman"/>
          <w:sz w:val="32"/>
          <w:szCs w:val="32"/>
        </w:rPr>
      </w:pPr>
      <w:r>
        <w:rPr>
          <w:rFonts w:hint="eastAsia" w:ascii="方正楷体简体" w:hAnsi="Times New Roman" w:eastAsia="方正楷体简体" w:cs="Times New Roman"/>
          <w:sz w:val="32"/>
          <w:szCs w:val="32"/>
        </w:rPr>
        <w:t>四是聚焦基础设施建设，进一步加速城乡融合。</w:t>
      </w:r>
      <w:r>
        <w:rPr>
          <w:rFonts w:hint="eastAsia" w:ascii="Times New Roman" w:hAnsi="Times New Roman" w:eastAsia="方正仿宋简体" w:cs="Times New Roman"/>
          <w:sz w:val="32"/>
          <w:szCs w:val="32"/>
        </w:rPr>
        <w:t>加快</w:t>
      </w:r>
      <w:r>
        <w:rPr>
          <w:rFonts w:hint="eastAsia" w:ascii="Times New Roman" w:hAnsi="Times New Roman" w:eastAsia="方正仿宋简体"/>
          <w:kern w:val="0"/>
          <w:sz w:val="32"/>
          <w:szCs w:val="32"/>
          <w:shd w:val="clear" w:color="auto" w:fill="FFFFFF"/>
        </w:rPr>
        <w:t>建设</w:t>
      </w:r>
      <w:r>
        <w:rPr>
          <w:rFonts w:ascii="Times New Roman" w:hAnsi="Times New Roman" w:eastAsia="方正仿宋简体"/>
          <w:kern w:val="0"/>
          <w:sz w:val="32"/>
          <w:szCs w:val="32"/>
          <w:shd w:val="clear" w:color="auto" w:fill="FFFFFF"/>
        </w:rPr>
        <w:t>328国道</w:t>
      </w:r>
      <w:r>
        <w:rPr>
          <w:rFonts w:hint="eastAsia" w:ascii="Times New Roman" w:hAnsi="Times New Roman" w:eastAsia="方正仿宋简体"/>
          <w:kern w:val="0"/>
          <w:sz w:val="32"/>
          <w:szCs w:val="32"/>
          <w:shd w:val="clear" w:color="auto" w:fill="FFFFFF"/>
        </w:rPr>
        <w:t>、</w:t>
      </w:r>
      <w:r>
        <w:rPr>
          <w:rFonts w:ascii="Times New Roman" w:hAnsi="Times New Roman" w:eastAsia="方正仿宋简体"/>
          <w:kern w:val="0"/>
          <w:sz w:val="32"/>
          <w:szCs w:val="32"/>
          <w:shd w:val="clear" w:color="auto" w:fill="FFFFFF"/>
        </w:rPr>
        <w:t>422省道</w:t>
      </w:r>
      <w:r>
        <w:rPr>
          <w:rFonts w:hint="eastAsia" w:ascii="Times New Roman" w:hAnsi="Times New Roman" w:eastAsia="方正仿宋简体"/>
          <w:kern w:val="0"/>
          <w:sz w:val="32"/>
          <w:szCs w:val="32"/>
          <w:shd w:val="clear" w:color="auto" w:fill="FFFFFF"/>
        </w:rPr>
        <w:t>、</w:t>
      </w:r>
      <w:r>
        <w:rPr>
          <w:rFonts w:ascii="Times New Roman" w:hAnsi="Times New Roman" w:eastAsia="方正仿宋简体"/>
          <w:kern w:val="0"/>
          <w:sz w:val="32"/>
          <w:szCs w:val="32"/>
          <w:shd w:val="clear" w:color="auto" w:fill="FFFFFF"/>
        </w:rPr>
        <w:t>501省道</w:t>
      </w:r>
      <w:r>
        <w:rPr>
          <w:rFonts w:hint="eastAsia" w:ascii="Times New Roman" w:hAnsi="Times New Roman" w:eastAsia="方正仿宋简体"/>
          <w:kern w:val="0"/>
          <w:sz w:val="32"/>
          <w:szCs w:val="32"/>
          <w:shd w:val="clear" w:color="auto" w:fill="FFFFFF"/>
        </w:rPr>
        <w:t>等干线公路，</w:t>
      </w:r>
      <w:r>
        <w:rPr>
          <w:rFonts w:hint="eastAsia" w:ascii="Times New Roman" w:hAnsi="Times New Roman" w:eastAsia="方正仿宋简体"/>
          <w:sz w:val="32"/>
          <w:szCs w:val="32"/>
        </w:rPr>
        <w:t>建成通车</w:t>
      </w:r>
      <w:r>
        <w:rPr>
          <w:rFonts w:ascii="Times New Roman" w:hAnsi="Times New Roman" w:eastAsia="方正仿宋简体"/>
          <w:sz w:val="32"/>
          <w:szCs w:val="32"/>
        </w:rPr>
        <w:t>体育路、体育南路</w:t>
      </w:r>
      <w:r>
        <w:rPr>
          <w:rFonts w:hint="eastAsia" w:ascii="Times New Roman" w:hAnsi="Times New Roman" w:eastAsia="方正仿宋简体"/>
          <w:sz w:val="32"/>
          <w:szCs w:val="32"/>
        </w:rPr>
        <w:t>等市政道路，不断提升路网通行效率。推进新城建设，建成龙袍新城污水处理厂、经济适用房一期、杨庄河路等5个项目，</w:t>
      </w:r>
      <w:r>
        <w:rPr>
          <w:rFonts w:ascii="Times New Roman" w:hAnsi="Times New Roman" w:eastAsia="方正仿宋简体" w:cs="Times New Roman"/>
          <w:sz w:val="32"/>
          <w:szCs w:val="32"/>
        </w:rPr>
        <w:t>竣工</w:t>
      </w:r>
      <w:r>
        <w:rPr>
          <w:rFonts w:hint="eastAsia" w:ascii="Times New Roman" w:hAnsi="Times New Roman" w:eastAsia="方正仿宋简体"/>
          <w:sz w:val="32"/>
          <w:szCs w:val="32"/>
        </w:rPr>
        <w:t>六合新城</w:t>
      </w:r>
      <w:r>
        <w:rPr>
          <w:rFonts w:ascii="Times New Roman" w:hAnsi="Times New Roman" w:eastAsia="方正仿宋简体" w:cs="Times New Roman"/>
          <w:sz w:val="32"/>
          <w:szCs w:val="32"/>
        </w:rPr>
        <w:t>滁马路等6条道路</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正式开放果老滩城市公园</w:t>
      </w:r>
      <w:r>
        <w:rPr>
          <w:rFonts w:hint="eastAsia" w:ascii="Times New Roman" w:hAnsi="Times New Roman" w:eastAsia="方正仿宋简体" w:cs="Times New Roman"/>
          <w:sz w:val="32"/>
          <w:szCs w:val="32"/>
        </w:rPr>
        <w:t>。集中整治</w:t>
      </w:r>
      <w:r>
        <w:rPr>
          <w:rFonts w:ascii="Times New Roman" w:hAnsi="Times New Roman" w:eastAsia="方正仿宋简体" w:cs="Times New Roman"/>
          <w:sz w:val="32"/>
          <w:szCs w:val="32"/>
        </w:rPr>
        <w:t>严重影响安全、群众反映强烈</w:t>
      </w:r>
      <w:r>
        <w:rPr>
          <w:rFonts w:hint="eastAsia" w:ascii="Times New Roman" w:hAnsi="Times New Roman" w:eastAsia="方正仿宋简体" w:cs="Times New Roman"/>
          <w:sz w:val="32"/>
          <w:szCs w:val="32"/>
        </w:rPr>
        <w:t>的违建不少于</w:t>
      </w:r>
      <w:r>
        <w:rPr>
          <w:rFonts w:ascii="Times New Roman" w:hAnsi="Times New Roman" w:eastAsia="方正仿宋简体" w:cs="Times New Roman"/>
          <w:sz w:val="32"/>
          <w:szCs w:val="32"/>
        </w:rPr>
        <w:t>8</w:t>
      </w:r>
      <w:r>
        <w:rPr>
          <w:rFonts w:hint="eastAsia" w:ascii="Times New Roman" w:hAnsi="Times New Roman" w:eastAsia="方正仿宋简体" w:cs="Times New Roman"/>
          <w:sz w:val="32"/>
          <w:szCs w:val="32"/>
        </w:rPr>
        <w:t>万平米。加快推进城市更新，完成老旧小区改造、新增停车泊位、</w:t>
      </w:r>
      <w:r>
        <w:rPr>
          <w:rFonts w:hint="eastAsia" w:ascii="Times New Roman" w:hAnsi="Times New Roman" w:eastAsia="方正仿宋简体" w:cs="Times New Roman"/>
          <w:kern w:val="0"/>
          <w:sz w:val="32"/>
          <w:szCs w:val="32"/>
        </w:rPr>
        <w:t>更换居民燃气“安心管”“放心阀”等</w:t>
      </w:r>
      <w:r>
        <w:rPr>
          <w:rFonts w:hint="eastAsia" w:ascii="Times New Roman" w:hAnsi="Times New Roman" w:eastAsia="方正仿宋简体" w:cs="Times New Roman"/>
          <w:sz w:val="32"/>
          <w:szCs w:val="32"/>
        </w:rPr>
        <w:t>年度目标任务</w:t>
      </w:r>
      <w:r>
        <w:rPr>
          <w:rFonts w:hint="eastAsia" w:ascii="Times New Roman" w:hAnsi="Times New Roman" w:eastAsia="方正仿宋简体" w:cs="Times New Roman"/>
          <w:kern w:val="0"/>
          <w:sz w:val="32"/>
          <w:szCs w:val="32"/>
        </w:rPr>
        <w:t>。加快实施特色田园乡村和美丽乡村宜居村建设</w:t>
      </w:r>
      <w:r>
        <w:rPr>
          <w:rFonts w:ascii="Times New Roman" w:hAnsi="Times New Roman" w:eastAsia="方正仿宋简体" w:cs="Times New Roman"/>
          <w:kern w:val="0"/>
          <w:sz w:val="32"/>
          <w:szCs w:val="32"/>
        </w:rPr>
        <w:t>，推进</w:t>
      </w:r>
      <w:r>
        <w:rPr>
          <w:rFonts w:hint="eastAsia" w:ascii="Times New Roman" w:hAnsi="Times New Roman" w:eastAsia="方正仿宋简体" w:cs="Times New Roman"/>
          <w:sz w:val="32"/>
          <w:szCs w:val="32"/>
        </w:rPr>
        <w:t>两批次</w:t>
      </w:r>
      <w:r>
        <w:rPr>
          <w:rFonts w:ascii="Times New Roman" w:hAnsi="Times New Roman" w:eastAsia="方正仿宋简体" w:cs="Times New Roman"/>
          <w:sz w:val="32"/>
          <w:szCs w:val="32"/>
        </w:rPr>
        <w:t>村级公益事业“一事一议”财政奖补项目落地落实</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新增经营性收入超千万元的村（社区）2个</w:t>
      </w:r>
      <w:r>
        <w:rPr>
          <w:rFonts w:hint="eastAsia" w:ascii="Times New Roman" w:hAnsi="Times New Roman" w:eastAsia="方正仿宋简体" w:cs="Times New Roman"/>
          <w:sz w:val="32"/>
          <w:szCs w:val="32"/>
        </w:rPr>
        <w:t>以上</w:t>
      </w:r>
      <w:r>
        <w:rPr>
          <w:rFonts w:ascii="Times New Roman" w:hAnsi="Times New Roman" w:eastAsia="方正仿宋简体" w:cs="Times New Roman"/>
          <w:sz w:val="32"/>
          <w:szCs w:val="32"/>
        </w:rPr>
        <w:t>。</w:t>
      </w:r>
    </w:p>
    <w:p>
      <w:pPr>
        <w:adjustRightInd w:val="0"/>
        <w:snapToGrid w:val="0"/>
        <w:spacing w:line="550" w:lineRule="exact"/>
        <w:ind w:firstLine="640" w:firstLineChars="200"/>
        <w:rPr>
          <w:rFonts w:ascii="方正楷体简体" w:hAnsi="Times New Roman" w:eastAsia="方正楷体简体" w:cs="Times New Roman"/>
          <w:sz w:val="32"/>
          <w:szCs w:val="32"/>
        </w:rPr>
      </w:pPr>
      <w:r>
        <w:rPr>
          <w:rFonts w:hint="eastAsia" w:ascii="方正楷体简体" w:hAnsi="Times New Roman" w:eastAsia="方正楷体简体" w:cs="Times New Roman"/>
          <w:sz w:val="32"/>
          <w:szCs w:val="32"/>
        </w:rPr>
        <w:t>五是聚焦绿色低碳发展，进一步提高生态美誉</w:t>
      </w:r>
      <w:r>
        <w:rPr>
          <w:rFonts w:ascii="Times New Roman" w:hAnsi="Times New Roman" w:eastAsia="方正仿宋简体" w:cs="Times New Roman"/>
          <w:sz w:val="32"/>
          <w:szCs w:val="32"/>
        </w:rPr>
        <w:t>。持续</w:t>
      </w:r>
      <w:r>
        <w:rPr>
          <w:rFonts w:hint="eastAsia" w:ascii="Times New Roman" w:hAnsi="Times New Roman" w:eastAsia="方正仿宋简体" w:cs="Times New Roman"/>
          <w:sz w:val="32"/>
          <w:szCs w:val="32"/>
        </w:rPr>
        <w:t>加强</w:t>
      </w:r>
      <w:r>
        <w:rPr>
          <w:rFonts w:ascii="Times New Roman" w:hAnsi="Times New Roman" w:eastAsia="方正仿宋简体" w:cs="Times New Roman"/>
          <w:sz w:val="32"/>
          <w:szCs w:val="32"/>
        </w:rPr>
        <w:t>产业园区整治提升、工程项目治理、扬尘综合治理、餐饮源和移动源监管，不断提升空气质量优良天数比率</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推进长江及滁河入河排污口分类整治</w:t>
      </w:r>
      <w:r>
        <w:rPr>
          <w:rFonts w:hint="eastAsia" w:ascii="Times New Roman" w:hAnsi="Times New Roman" w:eastAsia="方正仿宋简体" w:cs="Times New Roman"/>
          <w:sz w:val="32"/>
          <w:szCs w:val="32"/>
        </w:rPr>
        <w:t>，国省考河道断面优Ⅲ比例稳定达到100%，</w:t>
      </w:r>
      <w:r>
        <w:rPr>
          <w:rFonts w:hint="eastAsia" w:ascii="Times New Roman" w:hAnsi="Times New Roman" w:eastAsia="方正仿宋简体" w:cs="方正楷体简体"/>
          <w:sz w:val="32"/>
          <w:szCs w:val="32"/>
        </w:rPr>
        <w:t>着力打造一批生态河道、幸福河湖。</w:t>
      </w:r>
      <w:r>
        <w:rPr>
          <w:rFonts w:ascii="Times New Roman" w:hAnsi="Times New Roman" w:eastAsia="方正仿宋简体" w:cs="Times New Roman"/>
          <w:sz w:val="32"/>
          <w:szCs w:val="32"/>
        </w:rPr>
        <w:t>推进高风险遗留地块详查和风险管控</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深入</w:t>
      </w:r>
      <w:r>
        <w:rPr>
          <w:rFonts w:hint="eastAsia" w:ascii="Times New Roman" w:hAnsi="Times New Roman" w:eastAsia="方正仿宋简体" w:cs="Times New Roman"/>
          <w:sz w:val="32"/>
          <w:szCs w:val="32"/>
        </w:rPr>
        <w:t>实施</w:t>
      </w:r>
      <w:r>
        <w:rPr>
          <w:rFonts w:ascii="Times New Roman" w:hAnsi="Times New Roman" w:eastAsia="方正仿宋简体" w:cs="Times New Roman"/>
          <w:sz w:val="32"/>
          <w:szCs w:val="32"/>
        </w:rPr>
        <w:t>垃圾分类，创建11个省级垃圾分类达标小区，完成17个以上小区争优除差。</w:t>
      </w:r>
      <w:r>
        <w:rPr>
          <w:rFonts w:hint="eastAsia" w:ascii="Times New Roman" w:hAnsi="Times New Roman" w:eastAsia="方正仿宋简体" w:cs="Times New Roman"/>
          <w:sz w:val="32"/>
          <w:szCs w:val="32"/>
        </w:rPr>
        <w:t>完成六合城区滁河、招兵河、八百河等滨水空间及龙池立交周边修缮2个景观提升工程，建设开放香塘路东南角“口袋公园”。</w:t>
      </w:r>
    </w:p>
    <w:p>
      <w:pPr>
        <w:spacing w:line="550" w:lineRule="exact"/>
        <w:ind w:firstLine="640" w:firstLineChars="200"/>
        <w:rPr>
          <w:rFonts w:ascii="方正楷体简体" w:hAnsi="Times New Roman" w:eastAsia="方正楷体简体" w:cs="Times New Roman"/>
          <w:sz w:val="32"/>
          <w:szCs w:val="32"/>
        </w:rPr>
      </w:pPr>
      <w:r>
        <w:rPr>
          <w:rFonts w:hint="eastAsia" w:ascii="方正楷体简体" w:hAnsi="Times New Roman" w:eastAsia="方正楷体简体" w:cs="Times New Roman"/>
          <w:sz w:val="32"/>
          <w:szCs w:val="32"/>
        </w:rPr>
        <w:t>六是聚焦民生福祉升级，进一步创新社会治理。</w:t>
      </w:r>
      <w:r>
        <w:rPr>
          <w:rFonts w:hint="eastAsia" w:ascii="Times New Roman" w:hAnsi="Times New Roman" w:eastAsia="方正仿宋简体" w:cs="Times New Roman"/>
          <w:sz w:val="32"/>
          <w:szCs w:val="32"/>
        </w:rPr>
        <w:t>扎实推进民生实事，加快建设复兴路初中、旭光路小学、南师大六合实验学校、南师附中六合分校等一批学校，提高优质教育资源供给能力，积极创建省级义务教育优质均衡发展区。推进</w:t>
      </w:r>
      <w:r>
        <w:rPr>
          <w:rFonts w:ascii="Times New Roman" w:hAnsi="Times New Roman" w:eastAsia="方正仿宋简体" w:cs="Times New Roman"/>
          <w:sz w:val="32"/>
          <w:szCs w:val="32"/>
        </w:rPr>
        <w:t>区人民医院新病房楼</w:t>
      </w:r>
      <w:r>
        <w:rPr>
          <w:rFonts w:hint="eastAsia" w:ascii="Times New Roman" w:hAnsi="Times New Roman" w:eastAsia="方正仿宋简体" w:cs="Times New Roman"/>
          <w:sz w:val="32"/>
          <w:szCs w:val="32"/>
        </w:rPr>
        <w:t>建设，及基层医疗机构特色科室创建，全面提升区域医疗服务水平。不断完善养老服务体系，稳步推进养老机构提档升级，</w:t>
      </w:r>
      <w:r>
        <w:rPr>
          <w:rFonts w:ascii="Times New Roman" w:hAnsi="Times New Roman" w:eastAsia="方正仿宋简体" w:cs="Times New Roman"/>
          <w:sz w:val="32"/>
          <w:szCs w:val="32"/>
        </w:rPr>
        <w:t>实现标准化街道综合养老服务中心街镇全覆盖</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坚持就业优先导向，线上线下招聘同向发力</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落细落实就业补贴、</w:t>
      </w:r>
      <w:r>
        <w:rPr>
          <w:rFonts w:hint="eastAsia" w:ascii="Times New Roman" w:hAnsi="Times New Roman" w:eastAsia="方正仿宋简体" w:cs="Times New Roman"/>
          <w:sz w:val="32"/>
          <w:szCs w:val="32"/>
        </w:rPr>
        <w:t>降低</w:t>
      </w:r>
      <w:r>
        <w:rPr>
          <w:rFonts w:ascii="Times New Roman" w:hAnsi="Times New Roman" w:eastAsia="方正仿宋简体" w:cs="Times New Roman"/>
          <w:sz w:val="32"/>
          <w:szCs w:val="32"/>
        </w:rPr>
        <w:t>失业</w:t>
      </w:r>
      <w:r>
        <w:rPr>
          <w:rFonts w:hint="eastAsia" w:ascii="Times New Roman" w:hAnsi="Times New Roman" w:eastAsia="方正仿宋简体" w:cs="Times New Roman"/>
          <w:sz w:val="32"/>
          <w:szCs w:val="32"/>
        </w:rPr>
        <w:t>保险</w:t>
      </w:r>
      <w:r>
        <w:rPr>
          <w:rFonts w:ascii="Times New Roman" w:hAnsi="Times New Roman" w:eastAsia="方正仿宋简体" w:cs="Times New Roman"/>
          <w:sz w:val="32"/>
          <w:szCs w:val="32"/>
        </w:rPr>
        <w:t>费率等各类惠企政策</w:t>
      </w:r>
      <w:r>
        <w:rPr>
          <w:rFonts w:hint="eastAsia" w:ascii="Times New Roman" w:hAnsi="Times New Roman" w:eastAsia="方正仿宋简体" w:cs="Times New Roman"/>
          <w:sz w:val="32"/>
          <w:szCs w:val="32"/>
        </w:rPr>
        <w:t>，全力帮扶重点群体就业。</w:t>
      </w:r>
      <w:r>
        <w:rPr>
          <w:rFonts w:ascii="Times New Roman" w:hAnsi="Times New Roman" w:eastAsia="方正仿宋简体" w:cs="Times New Roman"/>
          <w:sz w:val="32"/>
          <w:szCs w:val="32"/>
        </w:rPr>
        <w:t>巩固拓展省现代社区治理创新实验区建设成果，进一步推广“1+1+3”</w:t>
      </w:r>
      <w:r>
        <w:rPr>
          <w:rFonts w:hint="eastAsia" w:ascii="Times New Roman" w:hAnsi="Times New Roman" w:eastAsia="方正仿宋简体" w:cs="Times New Roman"/>
          <w:sz w:val="32"/>
          <w:szCs w:val="32"/>
        </w:rPr>
        <w:t>现代乡村治理体系“</w:t>
      </w:r>
      <w:r>
        <w:rPr>
          <w:rFonts w:ascii="Times New Roman" w:hAnsi="Times New Roman" w:eastAsia="方正仿宋简体" w:cs="Times New Roman"/>
          <w:sz w:val="32"/>
          <w:szCs w:val="32"/>
        </w:rPr>
        <w:t>六合模式</w:t>
      </w:r>
      <w:r>
        <w:rPr>
          <w:rFonts w:hint="eastAsia" w:ascii="Times New Roman" w:hAnsi="Times New Roman" w:eastAsia="方正仿宋简体" w:cs="Times New Roman"/>
          <w:sz w:val="32"/>
          <w:szCs w:val="32"/>
        </w:rPr>
        <w:t>”和</w:t>
      </w:r>
      <w:r>
        <w:rPr>
          <w:rFonts w:ascii="Times New Roman" w:hAnsi="Times New Roman" w:eastAsia="方正仿宋简体" w:cs="Times New Roman"/>
          <w:sz w:val="32"/>
          <w:szCs w:val="32"/>
        </w:rPr>
        <w:t>“141”</w:t>
      </w:r>
      <w:r>
        <w:rPr>
          <w:rFonts w:hint="eastAsia" w:ascii="Times New Roman" w:hAnsi="Times New Roman" w:eastAsia="方正仿宋简体" w:cs="Times New Roman"/>
          <w:sz w:val="32"/>
          <w:szCs w:val="32"/>
        </w:rPr>
        <w:t>平安</w:t>
      </w:r>
      <w:r>
        <w:rPr>
          <w:rFonts w:ascii="Times New Roman" w:hAnsi="Times New Roman" w:eastAsia="方正仿宋简体" w:cs="Times New Roman"/>
          <w:sz w:val="32"/>
          <w:szCs w:val="32"/>
        </w:rPr>
        <w:t>乡村“金庄</w:t>
      </w:r>
      <w:r>
        <w:rPr>
          <w:rFonts w:hint="eastAsia" w:ascii="Times New Roman" w:hAnsi="Times New Roman" w:eastAsia="方正仿宋简体" w:cs="Times New Roman"/>
          <w:sz w:val="32"/>
          <w:szCs w:val="32"/>
        </w:rPr>
        <w:t>样板</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持续</w:t>
      </w:r>
      <w:r>
        <w:rPr>
          <w:rFonts w:ascii="Times New Roman" w:hAnsi="Times New Roman" w:eastAsia="方正仿宋简体" w:cs="Times New Roman"/>
          <w:sz w:val="32"/>
          <w:szCs w:val="32"/>
        </w:rPr>
        <w:t>推进一街镇一品牌建设，不断加大品牌宣传力度，擦亮社会治理六合品牌</w:t>
      </w:r>
      <w:r>
        <w:rPr>
          <w:rFonts w:hint="eastAsia" w:ascii="Times New Roman" w:hAnsi="Times New Roman" w:eastAsia="方正仿宋简体" w:cs="Times New Roman"/>
          <w:sz w:val="32"/>
          <w:szCs w:val="32"/>
        </w:rPr>
        <w:t>。</w:t>
      </w:r>
    </w:p>
    <w:p>
      <w:pPr>
        <w:spacing w:line="550" w:lineRule="exact"/>
        <w:rPr>
          <w:rFonts w:ascii="Times New Roman" w:hAnsi="Times New Roman" w:eastAsia="方正仿宋简体" w:cs="Times New Roman"/>
          <w:b/>
          <w:sz w:val="32"/>
          <w:szCs w:val="32"/>
        </w:rPr>
      </w:pPr>
    </w:p>
    <w:sectPr>
      <w:footerReference r:id="rId3" w:type="default"/>
      <w:pgSz w:w="11906" w:h="16838"/>
      <w:pgMar w:top="2098" w:right="1474" w:bottom="1985" w:left="1588" w:header="851" w:footer="141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准圆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2677685"/>
    </w:sdtPr>
    <w:sdtEndPr>
      <w:rPr>
        <w:rFonts w:ascii="Times New Roman" w:hAnsi="Times New Roman" w:cs="Times New Roman"/>
        <w:sz w:val="28"/>
        <w:szCs w:val="28"/>
      </w:rPr>
    </w:sdtEndPr>
    <w:sdtContent>
      <w:p>
        <w:pPr>
          <w:pStyle w:val="5"/>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pPr>
      <w:pStyle w:val="5"/>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2OTRjMjE0OGM1Mjc0YzQxYTQ4M2JmNzIzZjAyYTMifQ=="/>
  </w:docVars>
  <w:rsids>
    <w:rsidRoot w:val="003C3326"/>
    <w:rsid w:val="00003E08"/>
    <w:rsid w:val="000124DA"/>
    <w:rsid w:val="0001272E"/>
    <w:rsid w:val="00012E8D"/>
    <w:rsid w:val="00013873"/>
    <w:rsid w:val="00013FD7"/>
    <w:rsid w:val="00017BA2"/>
    <w:rsid w:val="00023D30"/>
    <w:rsid w:val="00025E2F"/>
    <w:rsid w:val="00025EA1"/>
    <w:rsid w:val="0003331B"/>
    <w:rsid w:val="00033639"/>
    <w:rsid w:val="000342B4"/>
    <w:rsid w:val="0003564B"/>
    <w:rsid w:val="00036153"/>
    <w:rsid w:val="00043335"/>
    <w:rsid w:val="00045081"/>
    <w:rsid w:val="000456CC"/>
    <w:rsid w:val="000522C6"/>
    <w:rsid w:val="00055E95"/>
    <w:rsid w:val="00055FFC"/>
    <w:rsid w:val="0006232A"/>
    <w:rsid w:val="00064548"/>
    <w:rsid w:val="000657DA"/>
    <w:rsid w:val="000676C9"/>
    <w:rsid w:val="0007062F"/>
    <w:rsid w:val="000709C0"/>
    <w:rsid w:val="000746A3"/>
    <w:rsid w:val="00075BDA"/>
    <w:rsid w:val="00084CDB"/>
    <w:rsid w:val="00085251"/>
    <w:rsid w:val="00086E48"/>
    <w:rsid w:val="00087B2D"/>
    <w:rsid w:val="00094A76"/>
    <w:rsid w:val="000A372E"/>
    <w:rsid w:val="000B07A4"/>
    <w:rsid w:val="000B265E"/>
    <w:rsid w:val="000B782A"/>
    <w:rsid w:val="000C1172"/>
    <w:rsid w:val="000C13D6"/>
    <w:rsid w:val="000C307B"/>
    <w:rsid w:val="000D2407"/>
    <w:rsid w:val="000D3AB5"/>
    <w:rsid w:val="000D3FF9"/>
    <w:rsid w:val="000E6201"/>
    <w:rsid w:val="000E7445"/>
    <w:rsid w:val="000F0192"/>
    <w:rsid w:val="000F2290"/>
    <w:rsid w:val="000F2D09"/>
    <w:rsid w:val="000F7A32"/>
    <w:rsid w:val="00106239"/>
    <w:rsid w:val="00106BD6"/>
    <w:rsid w:val="00111595"/>
    <w:rsid w:val="001134A5"/>
    <w:rsid w:val="00113FBB"/>
    <w:rsid w:val="00114224"/>
    <w:rsid w:val="001144EE"/>
    <w:rsid w:val="0011684F"/>
    <w:rsid w:val="00117796"/>
    <w:rsid w:val="00117F38"/>
    <w:rsid w:val="0012136D"/>
    <w:rsid w:val="001239F0"/>
    <w:rsid w:val="00123A02"/>
    <w:rsid w:val="00123C68"/>
    <w:rsid w:val="001246A9"/>
    <w:rsid w:val="00126875"/>
    <w:rsid w:val="0013276C"/>
    <w:rsid w:val="00133127"/>
    <w:rsid w:val="001333C0"/>
    <w:rsid w:val="00134D6B"/>
    <w:rsid w:val="0014388C"/>
    <w:rsid w:val="00145F9D"/>
    <w:rsid w:val="00150CCE"/>
    <w:rsid w:val="00155210"/>
    <w:rsid w:val="00157956"/>
    <w:rsid w:val="001632D3"/>
    <w:rsid w:val="001658B1"/>
    <w:rsid w:val="0017051B"/>
    <w:rsid w:val="00171B5B"/>
    <w:rsid w:val="00172706"/>
    <w:rsid w:val="00175125"/>
    <w:rsid w:val="00175427"/>
    <w:rsid w:val="00177848"/>
    <w:rsid w:val="00180D5F"/>
    <w:rsid w:val="00181047"/>
    <w:rsid w:val="001827D7"/>
    <w:rsid w:val="00183554"/>
    <w:rsid w:val="00183856"/>
    <w:rsid w:val="001846B0"/>
    <w:rsid w:val="00186112"/>
    <w:rsid w:val="00193D73"/>
    <w:rsid w:val="001A0CCC"/>
    <w:rsid w:val="001A4738"/>
    <w:rsid w:val="001B186A"/>
    <w:rsid w:val="001B2511"/>
    <w:rsid w:val="001B5FDB"/>
    <w:rsid w:val="001B65BC"/>
    <w:rsid w:val="001B75DE"/>
    <w:rsid w:val="001C0031"/>
    <w:rsid w:val="001C556E"/>
    <w:rsid w:val="001D1BDC"/>
    <w:rsid w:val="001D77FA"/>
    <w:rsid w:val="001E03B9"/>
    <w:rsid w:val="001E28D9"/>
    <w:rsid w:val="001E2A73"/>
    <w:rsid w:val="001E4346"/>
    <w:rsid w:val="001E75FF"/>
    <w:rsid w:val="001F208A"/>
    <w:rsid w:val="001F4DC2"/>
    <w:rsid w:val="001F592D"/>
    <w:rsid w:val="00201077"/>
    <w:rsid w:val="002029A5"/>
    <w:rsid w:val="00212CD8"/>
    <w:rsid w:val="002154FB"/>
    <w:rsid w:val="0021790A"/>
    <w:rsid w:val="002206B0"/>
    <w:rsid w:val="00230E35"/>
    <w:rsid w:val="002429AD"/>
    <w:rsid w:val="00242AC8"/>
    <w:rsid w:val="00243B89"/>
    <w:rsid w:val="00244EB5"/>
    <w:rsid w:val="00247867"/>
    <w:rsid w:val="002508CA"/>
    <w:rsid w:val="00257D56"/>
    <w:rsid w:val="00257DE5"/>
    <w:rsid w:val="00264FBE"/>
    <w:rsid w:val="00266013"/>
    <w:rsid w:val="002663CB"/>
    <w:rsid w:val="002672C6"/>
    <w:rsid w:val="0027163C"/>
    <w:rsid w:val="0027768C"/>
    <w:rsid w:val="002835D6"/>
    <w:rsid w:val="00290219"/>
    <w:rsid w:val="00295938"/>
    <w:rsid w:val="00295A5D"/>
    <w:rsid w:val="00296F12"/>
    <w:rsid w:val="00297EE2"/>
    <w:rsid w:val="002A40F9"/>
    <w:rsid w:val="002A4DE6"/>
    <w:rsid w:val="002A7BF4"/>
    <w:rsid w:val="002B3595"/>
    <w:rsid w:val="002C182F"/>
    <w:rsid w:val="002C5298"/>
    <w:rsid w:val="002D2FF8"/>
    <w:rsid w:val="002D643A"/>
    <w:rsid w:val="002E6087"/>
    <w:rsid w:val="002F171A"/>
    <w:rsid w:val="002F1F9E"/>
    <w:rsid w:val="002F599B"/>
    <w:rsid w:val="002F7831"/>
    <w:rsid w:val="00305D9A"/>
    <w:rsid w:val="00310229"/>
    <w:rsid w:val="00313358"/>
    <w:rsid w:val="00314550"/>
    <w:rsid w:val="003172CF"/>
    <w:rsid w:val="0032062C"/>
    <w:rsid w:val="00320F86"/>
    <w:rsid w:val="003250A5"/>
    <w:rsid w:val="00325D7C"/>
    <w:rsid w:val="00330CC9"/>
    <w:rsid w:val="003313AC"/>
    <w:rsid w:val="00335A1B"/>
    <w:rsid w:val="0034258A"/>
    <w:rsid w:val="0034404C"/>
    <w:rsid w:val="003441CE"/>
    <w:rsid w:val="00346A6D"/>
    <w:rsid w:val="00346EE1"/>
    <w:rsid w:val="00347409"/>
    <w:rsid w:val="00347FD5"/>
    <w:rsid w:val="0035058F"/>
    <w:rsid w:val="00357AFE"/>
    <w:rsid w:val="00361D73"/>
    <w:rsid w:val="00362CF8"/>
    <w:rsid w:val="00367BE7"/>
    <w:rsid w:val="003701C0"/>
    <w:rsid w:val="00370596"/>
    <w:rsid w:val="00371441"/>
    <w:rsid w:val="0037173E"/>
    <w:rsid w:val="00374C9E"/>
    <w:rsid w:val="00377BA5"/>
    <w:rsid w:val="003859FA"/>
    <w:rsid w:val="003870C2"/>
    <w:rsid w:val="00394C9C"/>
    <w:rsid w:val="003976C4"/>
    <w:rsid w:val="003A3F8A"/>
    <w:rsid w:val="003A5BF0"/>
    <w:rsid w:val="003A62A9"/>
    <w:rsid w:val="003B0586"/>
    <w:rsid w:val="003B489B"/>
    <w:rsid w:val="003B507B"/>
    <w:rsid w:val="003C044C"/>
    <w:rsid w:val="003C3326"/>
    <w:rsid w:val="003C6835"/>
    <w:rsid w:val="003C7D4B"/>
    <w:rsid w:val="003E03B2"/>
    <w:rsid w:val="003E40C3"/>
    <w:rsid w:val="003F004C"/>
    <w:rsid w:val="00407CD0"/>
    <w:rsid w:val="004103F2"/>
    <w:rsid w:val="00411D73"/>
    <w:rsid w:val="00413BA5"/>
    <w:rsid w:val="00415F76"/>
    <w:rsid w:val="00417DAB"/>
    <w:rsid w:val="0042251B"/>
    <w:rsid w:val="0042489D"/>
    <w:rsid w:val="00430798"/>
    <w:rsid w:val="00431243"/>
    <w:rsid w:val="0043124A"/>
    <w:rsid w:val="0043668C"/>
    <w:rsid w:val="00437E9A"/>
    <w:rsid w:val="004430FC"/>
    <w:rsid w:val="00445DE5"/>
    <w:rsid w:val="00450DD7"/>
    <w:rsid w:val="00451750"/>
    <w:rsid w:val="00453957"/>
    <w:rsid w:val="00454B92"/>
    <w:rsid w:val="00463B29"/>
    <w:rsid w:val="004710E5"/>
    <w:rsid w:val="00477C37"/>
    <w:rsid w:val="00480848"/>
    <w:rsid w:val="004859E1"/>
    <w:rsid w:val="0049158F"/>
    <w:rsid w:val="004939F5"/>
    <w:rsid w:val="004959A9"/>
    <w:rsid w:val="00496768"/>
    <w:rsid w:val="004A1957"/>
    <w:rsid w:val="004B31EB"/>
    <w:rsid w:val="004B5420"/>
    <w:rsid w:val="004B5AA6"/>
    <w:rsid w:val="004B5AD0"/>
    <w:rsid w:val="004B75D6"/>
    <w:rsid w:val="004B7D3C"/>
    <w:rsid w:val="004C3ECA"/>
    <w:rsid w:val="004D0B13"/>
    <w:rsid w:val="004D3087"/>
    <w:rsid w:val="004E15C2"/>
    <w:rsid w:val="004E3600"/>
    <w:rsid w:val="004E520B"/>
    <w:rsid w:val="00500FCA"/>
    <w:rsid w:val="00503E56"/>
    <w:rsid w:val="00503FC5"/>
    <w:rsid w:val="0050565E"/>
    <w:rsid w:val="00507730"/>
    <w:rsid w:val="00510D70"/>
    <w:rsid w:val="00514CF0"/>
    <w:rsid w:val="005153E4"/>
    <w:rsid w:val="005167FA"/>
    <w:rsid w:val="00522FC1"/>
    <w:rsid w:val="005232E6"/>
    <w:rsid w:val="00533AA7"/>
    <w:rsid w:val="00552547"/>
    <w:rsid w:val="00554A9E"/>
    <w:rsid w:val="00562236"/>
    <w:rsid w:val="00566385"/>
    <w:rsid w:val="00567500"/>
    <w:rsid w:val="00567DD0"/>
    <w:rsid w:val="00570A38"/>
    <w:rsid w:val="00571D5A"/>
    <w:rsid w:val="00572CA8"/>
    <w:rsid w:val="00573718"/>
    <w:rsid w:val="00577C38"/>
    <w:rsid w:val="005853CD"/>
    <w:rsid w:val="00587A86"/>
    <w:rsid w:val="005902DC"/>
    <w:rsid w:val="005943D6"/>
    <w:rsid w:val="00596051"/>
    <w:rsid w:val="0059695F"/>
    <w:rsid w:val="005A0A05"/>
    <w:rsid w:val="005A294D"/>
    <w:rsid w:val="005A4DA0"/>
    <w:rsid w:val="005B2573"/>
    <w:rsid w:val="005C63A2"/>
    <w:rsid w:val="005C73CE"/>
    <w:rsid w:val="005D4B69"/>
    <w:rsid w:val="005E073B"/>
    <w:rsid w:val="005E5275"/>
    <w:rsid w:val="005E6835"/>
    <w:rsid w:val="005F3C91"/>
    <w:rsid w:val="005F4F89"/>
    <w:rsid w:val="005F5CDB"/>
    <w:rsid w:val="005F63BA"/>
    <w:rsid w:val="0060305A"/>
    <w:rsid w:val="00614197"/>
    <w:rsid w:val="00620614"/>
    <w:rsid w:val="0062284C"/>
    <w:rsid w:val="00623326"/>
    <w:rsid w:val="0062425A"/>
    <w:rsid w:val="00624FE5"/>
    <w:rsid w:val="00640C4C"/>
    <w:rsid w:val="0064205B"/>
    <w:rsid w:val="00644791"/>
    <w:rsid w:val="00647FAF"/>
    <w:rsid w:val="0065065C"/>
    <w:rsid w:val="00650E87"/>
    <w:rsid w:val="00654110"/>
    <w:rsid w:val="006574B1"/>
    <w:rsid w:val="006608F0"/>
    <w:rsid w:val="00661D18"/>
    <w:rsid w:val="0066509B"/>
    <w:rsid w:val="00673A1F"/>
    <w:rsid w:val="006764C1"/>
    <w:rsid w:val="00676F9B"/>
    <w:rsid w:val="00677E77"/>
    <w:rsid w:val="0068029F"/>
    <w:rsid w:val="00680CA9"/>
    <w:rsid w:val="00687438"/>
    <w:rsid w:val="006876EA"/>
    <w:rsid w:val="006876F6"/>
    <w:rsid w:val="00691DFB"/>
    <w:rsid w:val="006950CF"/>
    <w:rsid w:val="006962A2"/>
    <w:rsid w:val="00697D57"/>
    <w:rsid w:val="006A016A"/>
    <w:rsid w:val="006A0BCD"/>
    <w:rsid w:val="006A0E0C"/>
    <w:rsid w:val="006A357D"/>
    <w:rsid w:val="006A410D"/>
    <w:rsid w:val="006A6772"/>
    <w:rsid w:val="006A7086"/>
    <w:rsid w:val="006A7F28"/>
    <w:rsid w:val="006B37A5"/>
    <w:rsid w:val="006B3E31"/>
    <w:rsid w:val="006B4D42"/>
    <w:rsid w:val="006B5528"/>
    <w:rsid w:val="006B6331"/>
    <w:rsid w:val="006B7335"/>
    <w:rsid w:val="006B76E9"/>
    <w:rsid w:val="006C1B84"/>
    <w:rsid w:val="006C348B"/>
    <w:rsid w:val="006C4088"/>
    <w:rsid w:val="006C4577"/>
    <w:rsid w:val="006C5E16"/>
    <w:rsid w:val="006D0251"/>
    <w:rsid w:val="006D2B4B"/>
    <w:rsid w:val="006D61CC"/>
    <w:rsid w:val="006D6252"/>
    <w:rsid w:val="006D7FAF"/>
    <w:rsid w:val="006E30A3"/>
    <w:rsid w:val="006E5D5D"/>
    <w:rsid w:val="006F4B29"/>
    <w:rsid w:val="00704B69"/>
    <w:rsid w:val="007051F5"/>
    <w:rsid w:val="00705CDC"/>
    <w:rsid w:val="00705CEB"/>
    <w:rsid w:val="00711221"/>
    <w:rsid w:val="0071288C"/>
    <w:rsid w:val="00712A0A"/>
    <w:rsid w:val="00714586"/>
    <w:rsid w:val="00715122"/>
    <w:rsid w:val="0071579E"/>
    <w:rsid w:val="007169FC"/>
    <w:rsid w:val="0072145E"/>
    <w:rsid w:val="007223D6"/>
    <w:rsid w:val="00725265"/>
    <w:rsid w:val="00725BB7"/>
    <w:rsid w:val="007264DE"/>
    <w:rsid w:val="00727A3B"/>
    <w:rsid w:val="00731B22"/>
    <w:rsid w:val="00743E27"/>
    <w:rsid w:val="00745C28"/>
    <w:rsid w:val="00747796"/>
    <w:rsid w:val="0075184E"/>
    <w:rsid w:val="0075544F"/>
    <w:rsid w:val="007561EC"/>
    <w:rsid w:val="00760677"/>
    <w:rsid w:val="00761529"/>
    <w:rsid w:val="00764385"/>
    <w:rsid w:val="00764F67"/>
    <w:rsid w:val="00771F36"/>
    <w:rsid w:val="00773356"/>
    <w:rsid w:val="007752A3"/>
    <w:rsid w:val="00782679"/>
    <w:rsid w:val="00785ED6"/>
    <w:rsid w:val="00792DD1"/>
    <w:rsid w:val="007967F6"/>
    <w:rsid w:val="007970E1"/>
    <w:rsid w:val="00797A2B"/>
    <w:rsid w:val="007A355F"/>
    <w:rsid w:val="007A5790"/>
    <w:rsid w:val="007A6838"/>
    <w:rsid w:val="007A7E2D"/>
    <w:rsid w:val="007B0BDC"/>
    <w:rsid w:val="007B3985"/>
    <w:rsid w:val="007B4ADA"/>
    <w:rsid w:val="007B57D5"/>
    <w:rsid w:val="007B5E94"/>
    <w:rsid w:val="007B624D"/>
    <w:rsid w:val="007B6AE3"/>
    <w:rsid w:val="007C3469"/>
    <w:rsid w:val="007C39C2"/>
    <w:rsid w:val="007C7595"/>
    <w:rsid w:val="007D2BE4"/>
    <w:rsid w:val="007D56D6"/>
    <w:rsid w:val="007E1D93"/>
    <w:rsid w:val="00801072"/>
    <w:rsid w:val="00802E60"/>
    <w:rsid w:val="00817D4B"/>
    <w:rsid w:val="00822B73"/>
    <w:rsid w:val="0082468F"/>
    <w:rsid w:val="008253E6"/>
    <w:rsid w:val="00830848"/>
    <w:rsid w:val="00833CFA"/>
    <w:rsid w:val="00833D79"/>
    <w:rsid w:val="00842D62"/>
    <w:rsid w:val="00845361"/>
    <w:rsid w:val="00846EDA"/>
    <w:rsid w:val="00850DB6"/>
    <w:rsid w:val="00852910"/>
    <w:rsid w:val="00853DE7"/>
    <w:rsid w:val="00853F09"/>
    <w:rsid w:val="00856742"/>
    <w:rsid w:val="0086788B"/>
    <w:rsid w:val="00870051"/>
    <w:rsid w:val="008725D5"/>
    <w:rsid w:val="008774DB"/>
    <w:rsid w:val="00877BC5"/>
    <w:rsid w:val="00877FF2"/>
    <w:rsid w:val="0088111F"/>
    <w:rsid w:val="0088483C"/>
    <w:rsid w:val="00893EEA"/>
    <w:rsid w:val="008942F1"/>
    <w:rsid w:val="008A0C93"/>
    <w:rsid w:val="008A4F91"/>
    <w:rsid w:val="008A62BE"/>
    <w:rsid w:val="008B11D9"/>
    <w:rsid w:val="008B17BC"/>
    <w:rsid w:val="008B63FA"/>
    <w:rsid w:val="008C4F49"/>
    <w:rsid w:val="008C6795"/>
    <w:rsid w:val="008C6BD5"/>
    <w:rsid w:val="008D0044"/>
    <w:rsid w:val="008D30E2"/>
    <w:rsid w:val="008D4F42"/>
    <w:rsid w:val="008D780D"/>
    <w:rsid w:val="008E1508"/>
    <w:rsid w:val="008E1AA3"/>
    <w:rsid w:val="008E51EC"/>
    <w:rsid w:val="008E6EAA"/>
    <w:rsid w:val="008F6976"/>
    <w:rsid w:val="008F6F41"/>
    <w:rsid w:val="009046ED"/>
    <w:rsid w:val="00904CE8"/>
    <w:rsid w:val="009111F1"/>
    <w:rsid w:val="009113E2"/>
    <w:rsid w:val="00911595"/>
    <w:rsid w:val="00912435"/>
    <w:rsid w:val="00915634"/>
    <w:rsid w:val="00915BFE"/>
    <w:rsid w:val="009170F0"/>
    <w:rsid w:val="00921752"/>
    <w:rsid w:val="00930017"/>
    <w:rsid w:val="009320F6"/>
    <w:rsid w:val="00932D2A"/>
    <w:rsid w:val="00943988"/>
    <w:rsid w:val="0095259C"/>
    <w:rsid w:val="0095312A"/>
    <w:rsid w:val="0095570E"/>
    <w:rsid w:val="009636A8"/>
    <w:rsid w:val="009637FA"/>
    <w:rsid w:val="009650FE"/>
    <w:rsid w:val="00966705"/>
    <w:rsid w:val="0096764C"/>
    <w:rsid w:val="009717B5"/>
    <w:rsid w:val="00976F7D"/>
    <w:rsid w:val="009825D4"/>
    <w:rsid w:val="00982766"/>
    <w:rsid w:val="00982BEF"/>
    <w:rsid w:val="009842DA"/>
    <w:rsid w:val="00984725"/>
    <w:rsid w:val="0098707E"/>
    <w:rsid w:val="00992D21"/>
    <w:rsid w:val="009A01FD"/>
    <w:rsid w:val="009A0202"/>
    <w:rsid w:val="009A246E"/>
    <w:rsid w:val="009A41FE"/>
    <w:rsid w:val="009A5EBA"/>
    <w:rsid w:val="009A747C"/>
    <w:rsid w:val="009B0719"/>
    <w:rsid w:val="009B69AE"/>
    <w:rsid w:val="009B7449"/>
    <w:rsid w:val="009C15AC"/>
    <w:rsid w:val="009C1ED6"/>
    <w:rsid w:val="009C4233"/>
    <w:rsid w:val="009C5306"/>
    <w:rsid w:val="009C7B30"/>
    <w:rsid w:val="009D19EA"/>
    <w:rsid w:val="009D3943"/>
    <w:rsid w:val="009D4EBF"/>
    <w:rsid w:val="009D53A2"/>
    <w:rsid w:val="009D6BEB"/>
    <w:rsid w:val="009E146C"/>
    <w:rsid w:val="009E39D1"/>
    <w:rsid w:val="009E4960"/>
    <w:rsid w:val="009F5F87"/>
    <w:rsid w:val="009F7C4E"/>
    <w:rsid w:val="00A0024E"/>
    <w:rsid w:val="00A04A48"/>
    <w:rsid w:val="00A04FA0"/>
    <w:rsid w:val="00A0647A"/>
    <w:rsid w:val="00A06ECE"/>
    <w:rsid w:val="00A1179A"/>
    <w:rsid w:val="00A1384B"/>
    <w:rsid w:val="00A16194"/>
    <w:rsid w:val="00A20073"/>
    <w:rsid w:val="00A258CD"/>
    <w:rsid w:val="00A268F2"/>
    <w:rsid w:val="00A30108"/>
    <w:rsid w:val="00A33BDD"/>
    <w:rsid w:val="00A34E66"/>
    <w:rsid w:val="00A35648"/>
    <w:rsid w:val="00A37EB0"/>
    <w:rsid w:val="00A40C92"/>
    <w:rsid w:val="00A42A5C"/>
    <w:rsid w:val="00A43D5C"/>
    <w:rsid w:val="00A50BAF"/>
    <w:rsid w:val="00A565C8"/>
    <w:rsid w:val="00A634C7"/>
    <w:rsid w:val="00A65D35"/>
    <w:rsid w:val="00A8027E"/>
    <w:rsid w:val="00A83E0C"/>
    <w:rsid w:val="00A846AE"/>
    <w:rsid w:val="00A853B8"/>
    <w:rsid w:val="00A90B97"/>
    <w:rsid w:val="00A94F11"/>
    <w:rsid w:val="00A954BB"/>
    <w:rsid w:val="00A9564B"/>
    <w:rsid w:val="00A96C34"/>
    <w:rsid w:val="00AA082D"/>
    <w:rsid w:val="00AA319A"/>
    <w:rsid w:val="00AA43C2"/>
    <w:rsid w:val="00AA6D65"/>
    <w:rsid w:val="00AB03C3"/>
    <w:rsid w:val="00AB2101"/>
    <w:rsid w:val="00AB6F6D"/>
    <w:rsid w:val="00AB7CDD"/>
    <w:rsid w:val="00AC22D9"/>
    <w:rsid w:val="00AC3906"/>
    <w:rsid w:val="00AC52EA"/>
    <w:rsid w:val="00AC72A5"/>
    <w:rsid w:val="00AD4A7E"/>
    <w:rsid w:val="00AD610F"/>
    <w:rsid w:val="00AE02E7"/>
    <w:rsid w:val="00AE26CB"/>
    <w:rsid w:val="00AE3938"/>
    <w:rsid w:val="00AE4E73"/>
    <w:rsid w:val="00AE7A2A"/>
    <w:rsid w:val="00AF1159"/>
    <w:rsid w:val="00AF2609"/>
    <w:rsid w:val="00AF6805"/>
    <w:rsid w:val="00AF744D"/>
    <w:rsid w:val="00AF74DD"/>
    <w:rsid w:val="00B040C2"/>
    <w:rsid w:val="00B04FDB"/>
    <w:rsid w:val="00B0531C"/>
    <w:rsid w:val="00B05E30"/>
    <w:rsid w:val="00B064B3"/>
    <w:rsid w:val="00B07666"/>
    <w:rsid w:val="00B1774C"/>
    <w:rsid w:val="00B20B5A"/>
    <w:rsid w:val="00B25C91"/>
    <w:rsid w:val="00B26C8D"/>
    <w:rsid w:val="00B26FF9"/>
    <w:rsid w:val="00B27E45"/>
    <w:rsid w:val="00B303F0"/>
    <w:rsid w:val="00B375CC"/>
    <w:rsid w:val="00B40152"/>
    <w:rsid w:val="00B422DA"/>
    <w:rsid w:val="00B442AB"/>
    <w:rsid w:val="00B45EDD"/>
    <w:rsid w:val="00B47D2A"/>
    <w:rsid w:val="00B51E4A"/>
    <w:rsid w:val="00B523B6"/>
    <w:rsid w:val="00B52FD9"/>
    <w:rsid w:val="00B56FD3"/>
    <w:rsid w:val="00B57329"/>
    <w:rsid w:val="00B60B69"/>
    <w:rsid w:val="00B66D30"/>
    <w:rsid w:val="00B6785B"/>
    <w:rsid w:val="00B72958"/>
    <w:rsid w:val="00B8345C"/>
    <w:rsid w:val="00B848E7"/>
    <w:rsid w:val="00B84E9C"/>
    <w:rsid w:val="00B85A0B"/>
    <w:rsid w:val="00B90C2A"/>
    <w:rsid w:val="00B90D19"/>
    <w:rsid w:val="00B90EFE"/>
    <w:rsid w:val="00B92501"/>
    <w:rsid w:val="00B932FD"/>
    <w:rsid w:val="00B95170"/>
    <w:rsid w:val="00B957A1"/>
    <w:rsid w:val="00BA422C"/>
    <w:rsid w:val="00BA42BE"/>
    <w:rsid w:val="00BA4B7D"/>
    <w:rsid w:val="00BB19DB"/>
    <w:rsid w:val="00BB5C90"/>
    <w:rsid w:val="00BB613D"/>
    <w:rsid w:val="00BB675D"/>
    <w:rsid w:val="00BB776A"/>
    <w:rsid w:val="00BC2BBE"/>
    <w:rsid w:val="00BD15F2"/>
    <w:rsid w:val="00BD3451"/>
    <w:rsid w:val="00BE0AAE"/>
    <w:rsid w:val="00BE2981"/>
    <w:rsid w:val="00BE3CF3"/>
    <w:rsid w:val="00BE40FC"/>
    <w:rsid w:val="00BE626E"/>
    <w:rsid w:val="00BF3361"/>
    <w:rsid w:val="00C00A68"/>
    <w:rsid w:val="00C0368E"/>
    <w:rsid w:val="00C07CE2"/>
    <w:rsid w:val="00C07D2D"/>
    <w:rsid w:val="00C10FAC"/>
    <w:rsid w:val="00C12AF4"/>
    <w:rsid w:val="00C140EA"/>
    <w:rsid w:val="00C21611"/>
    <w:rsid w:val="00C22EBB"/>
    <w:rsid w:val="00C303C4"/>
    <w:rsid w:val="00C309FA"/>
    <w:rsid w:val="00C31386"/>
    <w:rsid w:val="00C339F2"/>
    <w:rsid w:val="00C373D5"/>
    <w:rsid w:val="00C41D0A"/>
    <w:rsid w:val="00C4247F"/>
    <w:rsid w:val="00C5095F"/>
    <w:rsid w:val="00C51795"/>
    <w:rsid w:val="00C51E26"/>
    <w:rsid w:val="00C53AD7"/>
    <w:rsid w:val="00C53C5A"/>
    <w:rsid w:val="00C54B02"/>
    <w:rsid w:val="00C55C4D"/>
    <w:rsid w:val="00C56A09"/>
    <w:rsid w:val="00C56A69"/>
    <w:rsid w:val="00C604D5"/>
    <w:rsid w:val="00C62992"/>
    <w:rsid w:val="00C64509"/>
    <w:rsid w:val="00C671B2"/>
    <w:rsid w:val="00C67C8A"/>
    <w:rsid w:val="00C75A0A"/>
    <w:rsid w:val="00C77623"/>
    <w:rsid w:val="00C80494"/>
    <w:rsid w:val="00C82863"/>
    <w:rsid w:val="00C8367F"/>
    <w:rsid w:val="00C84F53"/>
    <w:rsid w:val="00C9015B"/>
    <w:rsid w:val="00C91708"/>
    <w:rsid w:val="00C92C12"/>
    <w:rsid w:val="00C930FF"/>
    <w:rsid w:val="00C940E9"/>
    <w:rsid w:val="00C94447"/>
    <w:rsid w:val="00C949E3"/>
    <w:rsid w:val="00C9639D"/>
    <w:rsid w:val="00C97C8B"/>
    <w:rsid w:val="00CB15DE"/>
    <w:rsid w:val="00CB1A39"/>
    <w:rsid w:val="00CB3CCE"/>
    <w:rsid w:val="00CB3D74"/>
    <w:rsid w:val="00CB5351"/>
    <w:rsid w:val="00CB679B"/>
    <w:rsid w:val="00CB6980"/>
    <w:rsid w:val="00CB7B91"/>
    <w:rsid w:val="00CC0133"/>
    <w:rsid w:val="00CC3D2F"/>
    <w:rsid w:val="00CC7700"/>
    <w:rsid w:val="00CD18F4"/>
    <w:rsid w:val="00CD21A2"/>
    <w:rsid w:val="00CD32E1"/>
    <w:rsid w:val="00CD7B9F"/>
    <w:rsid w:val="00CE2D41"/>
    <w:rsid w:val="00CE3D2C"/>
    <w:rsid w:val="00CE47B3"/>
    <w:rsid w:val="00CE65E3"/>
    <w:rsid w:val="00CF17D4"/>
    <w:rsid w:val="00CF6155"/>
    <w:rsid w:val="00CF6B2B"/>
    <w:rsid w:val="00CF7599"/>
    <w:rsid w:val="00D10261"/>
    <w:rsid w:val="00D12AB0"/>
    <w:rsid w:val="00D242B6"/>
    <w:rsid w:val="00D25674"/>
    <w:rsid w:val="00D3391F"/>
    <w:rsid w:val="00D44ADE"/>
    <w:rsid w:val="00D47497"/>
    <w:rsid w:val="00D47CAF"/>
    <w:rsid w:val="00D5104F"/>
    <w:rsid w:val="00D52335"/>
    <w:rsid w:val="00D53EE6"/>
    <w:rsid w:val="00D5442C"/>
    <w:rsid w:val="00D56695"/>
    <w:rsid w:val="00D60E16"/>
    <w:rsid w:val="00D649D8"/>
    <w:rsid w:val="00D66A3A"/>
    <w:rsid w:val="00D71D54"/>
    <w:rsid w:val="00D73E93"/>
    <w:rsid w:val="00D77DD1"/>
    <w:rsid w:val="00D83E47"/>
    <w:rsid w:val="00D849A4"/>
    <w:rsid w:val="00D8635E"/>
    <w:rsid w:val="00D92B0E"/>
    <w:rsid w:val="00DA0075"/>
    <w:rsid w:val="00DA3B11"/>
    <w:rsid w:val="00DA3B2E"/>
    <w:rsid w:val="00DA76A4"/>
    <w:rsid w:val="00DB478E"/>
    <w:rsid w:val="00DC025A"/>
    <w:rsid w:val="00DC15C3"/>
    <w:rsid w:val="00DC47D2"/>
    <w:rsid w:val="00DD075B"/>
    <w:rsid w:val="00DD2A98"/>
    <w:rsid w:val="00DD37AD"/>
    <w:rsid w:val="00DD6DCF"/>
    <w:rsid w:val="00DE0172"/>
    <w:rsid w:val="00DE35D7"/>
    <w:rsid w:val="00DF1386"/>
    <w:rsid w:val="00DF5063"/>
    <w:rsid w:val="00E12E63"/>
    <w:rsid w:val="00E13F72"/>
    <w:rsid w:val="00E2314A"/>
    <w:rsid w:val="00E2769E"/>
    <w:rsid w:val="00E31D48"/>
    <w:rsid w:val="00E34013"/>
    <w:rsid w:val="00E34CD2"/>
    <w:rsid w:val="00E3541E"/>
    <w:rsid w:val="00E40092"/>
    <w:rsid w:val="00E4350C"/>
    <w:rsid w:val="00E4389E"/>
    <w:rsid w:val="00E466A2"/>
    <w:rsid w:val="00E52B81"/>
    <w:rsid w:val="00E53938"/>
    <w:rsid w:val="00E56149"/>
    <w:rsid w:val="00E57D90"/>
    <w:rsid w:val="00E606D3"/>
    <w:rsid w:val="00E61CA8"/>
    <w:rsid w:val="00E636AF"/>
    <w:rsid w:val="00E67340"/>
    <w:rsid w:val="00E72B28"/>
    <w:rsid w:val="00E85999"/>
    <w:rsid w:val="00E90C79"/>
    <w:rsid w:val="00E91127"/>
    <w:rsid w:val="00E93C25"/>
    <w:rsid w:val="00E94F52"/>
    <w:rsid w:val="00E9699D"/>
    <w:rsid w:val="00E971C0"/>
    <w:rsid w:val="00EA0471"/>
    <w:rsid w:val="00EA04D5"/>
    <w:rsid w:val="00EA172A"/>
    <w:rsid w:val="00EA3F0C"/>
    <w:rsid w:val="00EB4BAE"/>
    <w:rsid w:val="00EC52D2"/>
    <w:rsid w:val="00EC54AA"/>
    <w:rsid w:val="00EC5CCD"/>
    <w:rsid w:val="00ED02B1"/>
    <w:rsid w:val="00ED4517"/>
    <w:rsid w:val="00EE099F"/>
    <w:rsid w:val="00EE645C"/>
    <w:rsid w:val="00EE7775"/>
    <w:rsid w:val="00EE7B1A"/>
    <w:rsid w:val="00EF61A6"/>
    <w:rsid w:val="00F021B8"/>
    <w:rsid w:val="00F027B6"/>
    <w:rsid w:val="00F02964"/>
    <w:rsid w:val="00F03172"/>
    <w:rsid w:val="00F0469C"/>
    <w:rsid w:val="00F06A8C"/>
    <w:rsid w:val="00F06B5D"/>
    <w:rsid w:val="00F06E63"/>
    <w:rsid w:val="00F1036E"/>
    <w:rsid w:val="00F173DD"/>
    <w:rsid w:val="00F2288C"/>
    <w:rsid w:val="00F2541C"/>
    <w:rsid w:val="00F26420"/>
    <w:rsid w:val="00F3096D"/>
    <w:rsid w:val="00F314D1"/>
    <w:rsid w:val="00F36B7F"/>
    <w:rsid w:val="00F40BAA"/>
    <w:rsid w:val="00F4101F"/>
    <w:rsid w:val="00F411A1"/>
    <w:rsid w:val="00F43EC9"/>
    <w:rsid w:val="00F634EE"/>
    <w:rsid w:val="00F63C32"/>
    <w:rsid w:val="00F659DB"/>
    <w:rsid w:val="00F70D2C"/>
    <w:rsid w:val="00F71E5C"/>
    <w:rsid w:val="00F8030E"/>
    <w:rsid w:val="00F84E12"/>
    <w:rsid w:val="00F850B3"/>
    <w:rsid w:val="00F91C27"/>
    <w:rsid w:val="00F94349"/>
    <w:rsid w:val="00F948A7"/>
    <w:rsid w:val="00FA12DD"/>
    <w:rsid w:val="00FA4515"/>
    <w:rsid w:val="00FB0395"/>
    <w:rsid w:val="00FB1E89"/>
    <w:rsid w:val="00FB35D0"/>
    <w:rsid w:val="00FB3657"/>
    <w:rsid w:val="00FB3755"/>
    <w:rsid w:val="00FB5D7C"/>
    <w:rsid w:val="00FC3759"/>
    <w:rsid w:val="00FC3E77"/>
    <w:rsid w:val="00FD0263"/>
    <w:rsid w:val="00FD16CC"/>
    <w:rsid w:val="00FD18EE"/>
    <w:rsid w:val="00FD2206"/>
    <w:rsid w:val="00FD2898"/>
    <w:rsid w:val="00FD57F8"/>
    <w:rsid w:val="00FD5F10"/>
    <w:rsid w:val="00FE0162"/>
    <w:rsid w:val="00FE1C2E"/>
    <w:rsid w:val="00FE6065"/>
    <w:rsid w:val="00FE6518"/>
    <w:rsid w:val="00FF060A"/>
    <w:rsid w:val="00FF39F8"/>
    <w:rsid w:val="00FF3BA2"/>
    <w:rsid w:val="00FF53BE"/>
    <w:rsid w:val="00FF569F"/>
    <w:rsid w:val="00FF767D"/>
    <w:rsid w:val="07A65D87"/>
    <w:rsid w:val="1954590B"/>
    <w:rsid w:val="4ED01B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qFormat/>
    <w:uiPriority w:val="99"/>
    <w:pPr>
      <w:ind w:firstLine="420" w:firstLineChars="200"/>
    </w:pPr>
    <w:rPr>
      <w:rFonts w:eastAsia="宋体"/>
      <w:szCs w:val="24"/>
    </w:rPr>
  </w:style>
  <w:style w:type="paragraph" w:styleId="3">
    <w:name w:val="index 4"/>
    <w:basedOn w:val="1"/>
    <w:next w:val="1"/>
    <w:qFormat/>
    <w:uiPriority w:val="99"/>
    <w:pPr>
      <w:ind w:left="600" w:leftChars="600"/>
    </w:pPr>
    <w:rPr>
      <w:szCs w:val="24"/>
    </w:rPr>
  </w:style>
  <w:style w:type="paragraph" w:styleId="4">
    <w:name w:val="Date"/>
    <w:basedOn w:val="1"/>
    <w:next w:val="1"/>
    <w:link w:val="13"/>
    <w:semiHidden/>
    <w:unhideWhenUsed/>
    <w:qFormat/>
    <w:uiPriority w:val="99"/>
    <w:pPr>
      <w:ind w:left="100" w:leftChars="25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9">
    <w:name w:val="Emphasis"/>
    <w:qFormat/>
    <w:uiPriority w:val="20"/>
    <w:rPr>
      <w:i/>
      <w:iCs/>
    </w:rPr>
  </w:style>
  <w:style w:type="character" w:customStyle="1" w:styleId="10">
    <w:name w:val="页眉 字符"/>
    <w:basedOn w:val="8"/>
    <w:link w:val="6"/>
    <w:uiPriority w:val="99"/>
    <w:rPr>
      <w:sz w:val="18"/>
      <w:szCs w:val="18"/>
    </w:rPr>
  </w:style>
  <w:style w:type="character" w:customStyle="1" w:styleId="11">
    <w:name w:val="页脚 字符"/>
    <w:basedOn w:val="8"/>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字符"/>
    <w:basedOn w:val="8"/>
    <w:link w:val="4"/>
    <w:semiHidden/>
    <w:qFormat/>
    <w:uiPriority w:val="99"/>
  </w:style>
  <w:style w:type="paragraph" w:customStyle="1" w:styleId="14">
    <w:name w:val="样式7"/>
    <w:basedOn w:val="1"/>
    <w:qFormat/>
    <w:uiPriority w:val="0"/>
    <w:pPr>
      <w:autoSpaceDE w:val="0"/>
      <w:autoSpaceDN w:val="0"/>
      <w:snapToGrid w:val="0"/>
      <w:spacing w:line="567" w:lineRule="exact"/>
      <w:ind w:firstLine="200" w:firstLineChars="200"/>
    </w:pPr>
    <w:rPr>
      <w:rFonts w:ascii="Times New Roman" w:hAnsi="Times New Roman" w:eastAsia="方正仿宋_GBK" w:cs="Times New Roman"/>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9D95E-1D64-416C-8B21-4D4815C6F36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12</Pages>
  <Words>1132</Words>
  <Characters>6454</Characters>
  <Lines>53</Lines>
  <Paragraphs>15</Paragraphs>
  <TotalTime>1</TotalTime>
  <ScaleCrop>false</ScaleCrop>
  <LinksUpToDate>false</LinksUpToDate>
  <CharactersWithSpaces>7571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2021-05-12T06:38:00Z</dcterms:created>
  <dc:creator>HP</dc:creator>
  <cp:lastModifiedBy>谷裕丰(guyufeng)</cp:lastModifiedBy>
  <cp:lastPrinted>2023-08-28T08:58:02Z</cp:lastPrinted>
  <dcterms:modified xsi:type="dcterms:W3CDTF">2023-08-28T09:14:18Z</dcterms:modified>
  <cp:revision>574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707B8358C65944B0A1DAB3AA84014481_12</vt:lpwstr>
  </property>
</Properties>
</file>