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BDF146">
      <w:pPr>
        <w:spacing w:line="540" w:lineRule="exact"/>
        <w:jc w:val="center"/>
        <w:rPr>
          <w:rFonts w:hint="default" w:ascii="Times New Roman" w:hAnsi="Times New Roman" w:eastAsia="方正小标宋简体" w:cs="Times New Roman"/>
          <w:bCs/>
          <w:sz w:val="44"/>
          <w:szCs w:val="44"/>
        </w:rPr>
      </w:pPr>
      <w:bookmarkStart w:id="6" w:name="_GoBack"/>
      <w:r>
        <w:rPr>
          <w:rFonts w:hint="eastAsia" w:ascii="Times New Roman" w:hAnsi="Times New Roman" w:eastAsia="方正小标宋简体" w:cs="Times New Roman"/>
          <w:bCs/>
          <w:sz w:val="44"/>
          <w:szCs w:val="44"/>
          <w:lang w:val="en-US" w:eastAsia="zh-CN"/>
        </w:rPr>
        <w:t>南京市六合区</w:t>
      </w:r>
      <w:r>
        <w:rPr>
          <w:rFonts w:hint="default" w:ascii="Times New Roman" w:hAnsi="Times New Roman" w:eastAsia="方正小标宋简体" w:cs="Times New Roman"/>
          <w:bCs/>
          <w:sz w:val="44"/>
          <w:szCs w:val="44"/>
        </w:rPr>
        <w:t>2024年上半年国民经济</w:t>
      </w:r>
    </w:p>
    <w:p w14:paraId="79D0A0FD">
      <w:pPr>
        <w:spacing w:line="54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和社会发展计划执行情况</w:t>
      </w:r>
    </w:p>
    <w:bookmarkEnd w:id="6"/>
    <w:p w14:paraId="389906A6">
      <w:pPr>
        <w:pStyle w:val="2"/>
        <w:ind w:left="0" w:leftChars="0" w:firstLine="0"/>
        <w:rPr>
          <w:rFonts w:hint="default" w:ascii="Times New Roman" w:hAnsi="Times New Roman" w:cs="Times New Roman"/>
        </w:rPr>
      </w:pPr>
    </w:p>
    <w:p w14:paraId="3453DB6D">
      <w:pPr>
        <w:spacing w:line="560" w:lineRule="exact"/>
        <w:ind w:firstLine="640" w:firstLineChars="200"/>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一、上半年国民经济和社会发展计划执行情况</w:t>
      </w:r>
    </w:p>
    <w:p w14:paraId="0C2F0D81">
      <w:pPr>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今年以来，全区上下坚持以习近平新时代中国特色社会主义思想为指导，</w:t>
      </w:r>
      <w:r>
        <w:rPr>
          <w:rFonts w:hint="default" w:ascii="Times New Roman" w:hAnsi="Times New Roman" w:eastAsia="方正仿宋简体" w:cs="Times New Roman"/>
          <w:sz w:val="32"/>
        </w:rPr>
        <w:t>深入学习贯彻党的二十大和二十届二中、三中全会精神，</w:t>
      </w:r>
      <w:r>
        <w:rPr>
          <w:rFonts w:hint="default" w:ascii="Times New Roman" w:hAnsi="Times New Roman" w:eastAsia="方正仿宋简体" w:cs="Times New Roman"/>
          <w:sz w:val="32"/>
          <w:szCs w:val="32"/>
        </w:rPr>
        <w:t>坚持稳中求进工作总基调，完整、准确、全面贯彻新发展理念，</w:t>
      </w:r>
      <w:r>
        <w:rPr>
          <w:rFonts w:hint="default" w:ascii="Times New Roman" w:hAnsi="Times New Roman" w:eastAsia="方正仿宋简体" w:cs="Times New Roman"/>
          <w:sz w:val="32"/>
        </w:rPr>
        <w:t>因地制宜加快发展新质生产力，建设南京绿色生产力特色区，</w:t>
      </w:r>
      <w:r>
        <w:rPr>
          <w:rFonts w:hint="default" w:ascii="Times New Roman" w:hAnsi="Times New Roman" w:eastAsia="方正仿宋简体" w:cs="Times New Roman"/>
          <w:sz w:val="32"/>
          <w:szCs w:val="32"/>
        </w:rPr>
        <w:t>扎实推进人代会确定的年度计划任务，经济运行高开稳走，社会大局保持稳定。</w:t>
      </w:r>
    </w:p>
    <w:p w14:paraId="2CDBA480">
      <w:pPr>
        <w:spacing w:line="560" w:lineRule="exact"/>
        <w:ind w:firstLine="640" w:firstLineChars="200"/>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rPr>
        <w:t>（一）主要目标完成情况</w:t>
      </w:r>
    </w:p>
    <w:p w14:paraId="5A198472">
      <w:pPr>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2024年列入区人代会主要指标共六大类33项，除8项年度监测指标暂无数据外，其余25项指标中，20项达进度要求，受内外投资需求减弱、重点企业营收下降及不利气象因素影响，全社会固定资产投资、实际利用外资、单位工业增加值能耗下降、空气质量达到二级标准以上天数比例、细颗粒物（PM</w:t>
      </w:r>
      <w:r>
        <w:rPr>
          <w:rFonts w:hint="default" w:ascii="Times New Roman" w:hAnsi="Times New Roman" w:eastAsia="方正仿宋简体" w:cs="Times New Roman"/>
          <w:sz w:val="32"/>
          <w:szCs w:val="32"/>
          <w:vertAlign w:val="subscript"/>
        </w:rPr>
        <w:t>2.5</w:t>
      </w:r>
      <w:r>
        <w:rPr>
          <w:rFonts w:hint="default" w:ascii="Times New Roman" w:hAnsi="Times New Roman" w:eastAsia="方正仿宋简体" w:cs="Times New Roman"/>
          <w:sz w:val="32"/>
          <w:szCs w:val="32"/>
        </w:rPr>
        <w:t>）浓度等5项指标未达进度要求。其中，全社会固定资产投资增速、细颗粒物（PM</w:t>
      </w:r>
      <w:r>
        <w:rPr>
          <w:rFonts w:hint="default" w:ascii="Times New Roman" w:hAnsi="Times New Roman" w:eastAsia="方正仿宋简体" w:cs="Times New Roman"/>
          <w:sz w:val="32"/>
          <w:szCs w:val="32"/>
          <w:vertAlign w:val="subscript"/>
        </w:rPr>
        <w:t>2.5</w:t>
      </w:r>
      <w:r>
        <w:rPr>
          <w:rFonts w:hint="default" w:ascii="Times New Roman" w:hAnsi="Times New Roman" w:eastAsia="方正仿宋简体" w:cs="Times New Roman"/>
          <w:sz w:val="32"/>
          <w:szCs w:val="32"/>
        </w:rPr>
        <w:t>）浓度均排名全市靠前；截止目前，空气质量达到二级标准以上天数比例已达标，单位工业增加值能耗下降、实际利用外资呈现逐月向好态势。</w:t>
      </w:r>
    </w:p>
    <w:p w14:paraId="3866E68F">
      <w:pPr>
        <w:spacing w:line="560" w:lineRule="exact"/>
        <w:jc w:val="center"/>
        <w:rPr>
          <w:rFonts w:hint="default" w:ascii="Times New Roman" w:hAnsi="Times New Roman" w:eastAsia="方正黑体简体" w:cs="Times New Roman"/>
          <w:sz w:val="28"/>
          <w:szCs w:val="28"/>
        </w:rPr>
      </w:pPr>
    </w:p>
    <w:p w14:paraId="55F77CD4">
      <w:pPr>
        <w:spacing w:line="560" w:lineRule="exact"/>
        <w:jc w:val="center"/>
        <w:rPr>
          <w:rFonts w:hint="default" w:ascii="Times New Roman" w:hAnsi="Times New Roman" w:eastAsia="方正黑体简体" w:cs="Times New Roman"/>
          <w:sz w:val="28"/>
          <w:szCs w:val="28"/>
        </w:rPr>
      </w:pPr>
    </w:p>
    <w:p w14:paraId="143A619E">
      <w:pPr>
        <w:spacing w:line="560" w:lineRule="exact"/>
        <w:jc w:val="center"/>
        <w:rPr>
          <w:rFonts w:hint="default" w:ascii="Times New Roman" w:hAnsi="Times New Roman" w:eastAsia="方正黑体简体" w:cs="Times New Roman"/>
          <w:sz w:val="28"/>
          <w:szCs w:val="28"/>
        </w:rPr>
      </w:pPr>
    </w:p>
    <w:p w14:paraId="7BDDB3AC">
      <w:pPr>
        <w:spacing w:line="560" w:lineRule="exact"/>
        <w:jc w:val="center"/>
        <w:rPr>
          <w:rFonts w:hint="default" w:ascii="Times New Roman" w:hAnsi="Times New Roman" w:eastAsia="方正仿宋简体" w:cs="Times New Roman"/>
          <w:sz w:val="32"/>
          <w:szCs w:val="32"/>
        </w:rPr>
      </w:pPr>
      <w:r>
        <w:rPr>
          <w:rFonts w:hint="default" w:ascii="Times New Roman" w:hAnsi="Times New Roman" w:eastAsia="方正黑体简体" w:cs="Times New Roman"/>
          <w:sz w:val="28"/>
          <w:szCs w:val="28"/>
        </w:rPr>
        <w:t>2024年上半年主要指标完成情况表</w:t>
      </w:r>
    </w:p>
    <w:tbl>
      <w:tblPr>
        <w:tblStyle w:val="11"/>
        <w:tblW w:w="10290" w:type="dxa"/>
        <w:jc w:val="center"/>
        <w:tblBorders>
          <w:top w:val="double" w:color="auto" w:sz="4" w:space="0"/>
          <w:left w:val="none" w:color="auto" w:sz="0" w:space="0"/>
          <w:bottom w:val="dotted"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7"/>
        <w:gridCol w:w="621"/>
        <w:gridCol w:w="3353"/>
        <w:gridCol w:w="740"/>
        <w:gridCol w:w="2016"/>
        <w:gridCol w:w="819"/>
        <w:gridCol w:w="1134"/>
        <w:gridCol w:w="920"/>
      </w:tblGrid>
      <w:tr w14:paraId="0A3DDACC">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blHeader/>
          <w:jc w:val="center"/>
        </w:trPr>
        <w:tc>
          <w:tcPr>
            <w:tcW w:w="687" w:type="dxa"/>
            <w:vMerge w:val="restart"/>
            <w:tcBorders>
              <w:top w:val="double" w:color="auto" w:sz="4" w:space="0"/>
              <w:left w:val="nil"/>
              <w:bottom w:val="dotted" w:color="auto" w:sz="4" w:space="0"/>
              <w:right w:val="dotted" w:color="auto" w:sz="4" w:space="0"/>
            </w:tcBorders>
            <w:vAlign w:val="center"/>
          </w:tcPr>
          <w:p w14:paraId="0342B57D">
            <w:pPr>
              <w:spacing w:line="240" w:lineRule="exact"/>
              <w:rPr>
                <w:rFonts w:hint="default" w:ascii="Times New Roman" w:hAnsi="Times New Roman" w:eastAsia="方正黑体简体" w:cs="Times New Roman"/>
                <w:sz w:val="20"/>
                <w:szCs w:val="20"/>
              </w:rPr>
            </w:pPr>
            <w:r>
              <w:rPr>
                <w:rFonts w:hint="default" w:ascii="Times New Roman" w:hAnsi="Times New Roman" w:eastAsia="方正黑体简体" w:cs="Times New Roman"/>
                <w:sz w:val="20"/>
                <w:szCs w:val="20"/>
              </w:rPr>
              <w:t>类别</w:t>
            </w:r>
          </w:p>
        </w:tc>
        <w:tc>
          <w:tcPr>
            <w:tcW w:w="621" w:type="dxa"/>
            <w:vMerge w:val="restart"/>
            <w:tcBorders>
              <w:top w:val="double" w:color="auto" w:sz="4" w:space="0"/>
              <w:left w:val="dotted" w:color="auto" w:sz="4" w:space="0"/>
              <w:bottom w:val="dotted" w:color="auto" w:sz="4" w:space="0"/>
              <w:right w:val="dotted" w:color="auto" w:sz="4" w:space="0"/>
            </w:tcBorders>
            <w:vAlign w:val="center"/>
          </w:tcPr>
          <w:p w14:paraId="31393462">
            <w:pPr>
              <w:spacing w:line="240" w:lineRule="exact"/>
              <w:jc w:val="center"/>
              <w:rPr>
                <w:rFonts w:hint="default" w:ascii="Times New Roman" w:hAnsi="Times New Roman" w:eastAsia="方正黑体简体" w:cs="Times New Roman"/>
                <w:sz w:val="20"/>
                <w:szCs w:val="20"/>
              </w:rPr>
            </w:pPr>
            <w:r>
              <w:rPr>
                <w:rFonts w:hint="default" w:ascii="Times New Roman" w:hAnsi="Times New Roman" w:eastAsia="方正黑体简体" w:cs="Times New Roman"/>
                <w:sz w:val="20"/>
                <w:szCs w:val="20"/>
              </w:rPr>
              <w:t>序号</w:t>
            </w:r>
          </w:p>
        </w:tc>
        <w:tc>
          <w:tcPr>
            <w:tcW w:w="3353" w:type="dxa"/>
            <w:vMerge w:val="restart"/>
            <w:tcBorders>
              <w:top w:val="double" w:color="auto" w:sz="4" w:space="0"/>
              <w:left w:val="dotted" w:color="auto" w:sz="4" w:space="0"/>
              <w:bottom w:val="dotted" w:color="auto" w:sz="4" w:space="0"/>
              <w:right w:val="dotted" w:color="auto" w:sz="4" w:space="0"/>
            </w:tcBorders>
            <w:vAlign w:val="center"/>
          </w:tcPr>
          <w:p w14:paraId="7A9B6160">
            <w:pPr>
              <w:spacing w:line="240" w:lineRule="exact"/>
              <w:jc w:val="center"/>
              <w:rPr>
                <w:rFonts w:hint="default" w:ascii="Times New Roman" w:hAnsi="Times New Roman" w:eastAsia="方正黑体简体" w:cs="Times New Roman"/>
                <w:sz w:val="20"/>
                <w:szCs w:val="20"/>
              </w:rPr>
            </w:pPr>
            <w:r>
              <w:rPr>
                <w:rFonts w:hint="default" w:ascii="Times New Roman" w:hAnsi="Times New Roman" w:eastAsia="方正黑体简体" w:cs="Times New Roman"/>
                <w:sz w:val="20"/>
                <w:szCs w:val="20"/>
              </w:rPr>
              <w:t>指标名称</w:t>
            </w:r>
          </w:p>
        </w:tc>
        <w:tc>
          <w:tcPr>
            <w:tcW w:w="740" w:type="dxa"/>
            <w:vMerge w:val="restart"/>
            <w:tcBorders>
              <w:top w:val="double" w:color="auto" w:sz="4" w:space="0"/>
              <w:left w:val="dotted" w:color="auto" w:sz="4" w:space="0"/>
              <w:bottom w:val="dotted" w:color="auto" w:sz="4" w:space="0"/>
              <w:right w:val="dotted" w:color="auto" w:sz="4" w:space="0"/>
            </w:tcBorders>
            <w:vAlign w:val="center"/>
          </w:tcPr>
          <w:p w14:paraId="35F3A58C">
            <w:pPr>
              <w:spacing w:line="240" w:lineRule="exact"/>
              <w:jc w:val="center"/>
              <w:rPr>
                <w:rFonts w:hint="default" w:ascii="Times New Roman" w:hAnsi="Times New Roman" w:eastAsia="方正黑体简体" w:cs="Times New Roman"/>
                <w:sz w:val="20"/>
                <w:szCs w:val="20"/>
              </w:rPr>
            </w:pPr>
            <w:r>
              <w:rPr>
                <w:rFonts w:hint="default" w:ascii="Times New Roman" w:hAnsi="Times New Roman" w:eastAsia="方正黑体简体" w:cs="Times New Roman"/>
                <w:sz w:val="20"/>
                <w:szCs w:val="20"/>
              </w:rPr>
              <w:t>单位</w:t>
            </w:r>
          </w:p>
        </w:tc>
        <w:tc>
          <w:tcPr>
            <w:tcW w:w="2016" w:type="dxa"/>
            <w:vMerge w:val="restart"/>
            <w:tcBorders>
              <w:top w:val="double" w:color="auto" w:sz="4" w:space="0"/>
              <w:left w:val="dotted" w:color="auto" w:sz="4" w:space="0"/>
              <w:bottom w:val="dotted" w:color="auto" w:sz="4" w:space="0"/>
              <w:right w:val="dotted" w:color="auto" w:sz="4" w:space="0"/>
            </w:tcBorders>
            <w:vAlign w:val="center"/>
          </w:tcPr>
          <w:p w14:paraId="5F22C77F">
            <w:pPr>
              <w:spacing w:line="240" w:lineRule="exact"/>
              <w:jc w:val="center"/>
              <w:rPr>
                <w:rFonts w:hint="default" w:ascii="Times New Roman" w:hAnsi="Times New Roman" w:eastAsia="方正黑体简体" w:cs="Times New Roman"/>
                <w:sz w:val="20"/>
                <w:szCs w:val="20"/>
              </w:rPr>
            </w:pPr>
            <w:r>
              <w:rPr>
                <w:rFonts w:hint="default" w:ascii="Times New Roman" w:hAnsi="Times New Roman" w:eastAsia="方正黑体简体" w:cs="Times New Roman"/>
                <w:sz w:val="20"/>
                <w:szCs w:val="20"/>
              </w:rPr>
              <w:t>年度计划</w:t>
            </w:r>
          </w:p>
        </w:tc>
        <w:tc>
          <w:tcPr>
            <w:tcW w:w="2873" w:type="dxa"/>
            <w:gridSpan w:val="3"/>
            <w:tcBorders>
              <w:top w:val="double" w:color="auto" w:sz="4" w:space="0"/>
              <w:left w:val="dotted" w:color="auto" w:sz="4" w:space="0"/>
              <w:bottom w:val="dotted" w:color="auto" w:sz="4" w:space="0"/>
              <w:right w:val="nil"/>
            </w:tcBorders>
            <w:vAlign w:val="center"/>
          </w:tcPr>
          <w:p w14:paraId="544C3298">
            <w:pPr>
              <w:spacing w:line="240" w:lineRule="exact"/>
              <w:jc w:val="center"/>
              <w:rPr>
                <w:rFonts w:hint="default" w:ascii="Times New Roman" w:hAnsi="Times New Roman" w:eastAsia="方正黑体简体" w:cs="Times New Roman"/>
                <w:sz w:val="20"/>
                <w:szCs w:val="20"/>
              </w:rPr>
            </w:pPr>
            <w:r>
              <w:rPr>
                <w:rFonts w:hint="default" w:ascii="Times New Roman" w:hAnsi="Times New Roman" w:eastAsia="方正黑体简体" w:cs="Times New Roman"/>
                <w:sz w:val="20"/>
                <w:szCs w:val="20"/>
              </w:rPr>
              <w:t>上半年完成情况</w:t>
            </w:r>
          </w:p>
        </w:tc>
      </w:tr>
      <w:tr w14:paraId="4A3CE41A">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blHeader/>
          <w:jc w:val="center"/>
        </w:trPr>
        <w:tc>
          <w:tcPr>
            <w:tcW w:w="687" w:type="dxa"/>
            <w:vMerge w:val="continue"/>
            <w:tcBorders>
              <w:top w:val="dotted" w:color="auto" w:sz="4" w:space="0"/>
              <w:left w:val="nil"/>
              <w:bottom w:val="dotted" w:color="auto" w:sz="4" w:space="0"/>
              <w:right w:val="dotted" w:color="auto" w:sz="4" w:space="0"/>
            </w:tcBorders>
          </w:tcPr>
          <w:p w14:paraId="01FF74F7">
            <w:pPr>
              <w:spacing w:line="240" w:lineRule="exact"/>
              <w:rPr>
                <w:rFonts w:hint="default" w:ascii="Times New Roman" w:hAnsi="Times New Roman" w:eastAsia="方正黑体简体" w:cs="Times New Roman"/>
                <w:sz w:val="20"/>
                <w:szCs w:val="20"/>
              </w:rPr>
            </w:pPr>
          </w:p>
        </w:tc>
        <w:tc>
          <w:tcPr>
            <w:tcW w:w="621" w:type="dxa"/>
            <w:vMerge w:val="continue"/>
            <w:tcBorders>
              <w:top w:val="dotted" w:color="auto" w:sz="4" w:space="0"/>
              <w:left w:val="dotted" w:color="auto" w:sz="4" w:space="0"/>
              <w:bottom w:val="dotted" w:color="auto" w:sz="4" w:space="0"/>
              <w:right w:val="dotted" w:color="auto" w:sz="4" w:space="0"/>
            </w:tcBorders>
          </w:tcPr>
          <w:p w14:paraId="4036EBB1">
            <w:pPr>
              <w:spacing w:line="240" w:lineRule="exact"/>
              <w:jc w:val="center"/>
              <w:rPr>
                <w:rFonts w:hint="default" w:ascii="Times New Roman" w:hAnsi="Times New Roman" w:eastAsia="方正黑体简体" w:cs="Times New Roman"/>
                <w:sz w:val="20"/>
                <w:szCs w:val="20"/>
              </w:rPr>
            </w:pPr>
          </w:p>
        </w:tc>
        <w:tc>
          <w:tcPr>
            <w:tcW w:w="3353" w:type="dxa"/>
            <w:vMerge w:val="continue"/>
            <w:tcBorders>
              <w:top w:val="dotted" w:color="auto" w:sz="4" w:space="0"/>
              <w:left w:val="dotted" w:color="auto" w:sz="4" w:space="0"/>
              <w:bottom w:val="dotted" w:color="auto" w:sz="4" w:space="0"/>
              <w:right w:val="dotted" w:color="auto" w:sz="4" w:space="0"/>
            </w:tcBorders>
          </w:tcPr>
          <w:p w14:paraId="15FCB57B">
            <w:pPr>
              <w:spacing w:line="240" w:lineRule="exact"/>
              <w:rPr>
                <w:rFonts w:hint="default" w:ascii="Times New Roman" w:hAnsi="Times New Roman" w:eastAsia="方正黑体简体" w:cs="Times New Roman"/>
                <w:sz w:val="20"/>
                <w:szCs w:val="20"/>
              </w:rPr>
            </w:pPr>
          </w:p>
        </w:tc>
        <w:tc>
          <w:tcPr>
            <w:tcW w:w="740" w:type="dxa"/>
            <w:vMerge w:val="continue"/>
            <w:tcBorders>
              <w:top w:val="dotted" w:color="auto" w:sz="4" w:space="0"/>
              <w:left w:val="dotted" w:color="auto" w:sz="4" w:space="0"/>
              <w:bottom w:val="dotted" w:color="auto" w:sz="4" w:space="0"/>
              <w:right w:val="dotted" w:color="auto" w:sz="4" w:space="0"/>
            </w:tcBorders>
          </w:tcPr>
          <w:p w14:paraId="1ACAE170">
            <w:pPr>
              <w:spacing w:line="240" w:lineRule="exact"/>
              <w:rPr>
                <w:rFonts w:hint="default" w:ascii="Times New Roman" w:hAnsi="Times New Roman" w:eastAsia="方正黑体简体" w:cs="Times New Roman"/>
                <w:sz w:val="20"/>
                <w:szCs w:val="20"/>
              </w:rPr>
            </w:pPr>
          </w:p>
        </w:tc>
        <w:tc>
          <w:tcPr>
            <w:tcW w:w="2016" w:type="dxa"/>
            <w:vMerge w:val="continue"/>
            <w:tcBorders>
              <w:top w:val="dotted" w:color="auto" w:sz="4" w:space="0"/>
              <w:left w:val="dotted" w:color="auto" w:sz="4" w:space="0"/>
              <w:bottom w:val="dotted" w:color="auto" w:sz="4" w:space="0"/>
              <w:right w:val="dotted" w:color="auto" w:sz="4" w:space="0"/>
            </w:tcBorders>
          </w:tcPr>
          <w:p w14:paraId="7437508A">
            <w:pPr>
              <w:spacing w:line="240" w:lineRule="exact"/>
              <w:rPr>
                <w:rFonts w:hint="default" w:ascii="Times New Roman" w:hAnsi="Times New Roman" w:eastAsia="方正黑体简体" w:cs="Times New Roman"/>
                <w:sz w:val="20"/>
                <w:szCs w:val="20"/>
              </w:rPr>
            </w:pPr>
          </w:p>
        </w:tc>
        <w:tc>
          <w:tcPr>
            <w:tcW w:w="819" w:type="dxa"/>
            <w:tcBorders>
              <w:top w:val="dotted" w:color="auto" w:sz="4" w:space="0"/>
              <w:left w:val="dotted" w:color="auto" w:sz="4" w:space="0"/>
              <w:bottom w:val="dotted" w:color="auto" w:sz="4" w:space="0"/>
              <w:right w:val="dotted" w:color="auto" w:sz="4" w:space="0"/>
            </w:tcBorders>
            <w:vAlign w:val="center"/>
          </w:tcPr>
          <w:p w14:paraId="0919A995">
            <w:pPr>
              <w:spacing w:line="240" w:lineRule="exact"/>
              <w:jc w:val="center"/>
              <w:rPr>
                <w:rFonts w:hint="default" w:ascii="Times New Roman" w:hAnsi="Times New Roman" w:eastAsia="方正黑体简体" w:cs="Times New Roman"/>
                <w:sz w:val="20"/>
                <w:szCs w:val="20"/>
              </w:rPr>
            </w:pPr>
            <w:r>
              <w:rPr>
                <w:rFonts w:hint="default" w:ascii="Times New Roman" w:hAnsi="Times New Roman" w:eastAsia="方正黑体简体" w:cs="Times New Roman"/>
                <w:sz w:val="20"/>
                <w:szCs w:val="20"/>
              </w:rPr>
              <w:t>实绩</w:t>
            </w:r>
          </w:p>
        </w:tc>
        <w:tc>
          <w:tcPr>
            <w:tcW w:w="1134" w:type="dxa"/>
            <w:tcBorders>
              <w:top w:val="dotted" w:color="auto" w:sz="4" w:space="0"/>
              <w:left w:val="dotted" w:color="auto" w:sz="4" w:space="0"/>
              <w:bottom w:val="dotted" w:color="auto" w:sz="4" w:space="0"/>
              <w:right w:val="dotted" w:color="auto" w:sz="4" w:space="0"/>
            </w:tcBorders>
            <w:vAlign w:val="center"/>
          </w:tcPr>
          <w:p w14:paraId="388B7EE3">
            <w:pPr>
              <w:spacing w:line="240" w:lineRule="exact"/>
              <w:jc w:val="center"/>
              <w:rPr>
                <w:rFonts w:hint="default" w:ascii="Times New Roman" w:hAnsi="Times New Roman" w:eastAsia="方正黑体简体" w:cs="Times New Roman"/>
                <w:sz w:val="20"/>
                <w:szCs w:val="20"/>
              </w:rPr>
            </w:pPr>
            <w:r>
              <w:rPr>
                <w:rFonts w:hint="default" w:ascii="Times New Roman" w:hAnsi="Times New Roman" w:eastAsia="方正黑体简体" w:cs="Times New Roman"/>
                <w:sz w:val="20"/>
                <w:szCs w:val="20"/>
              </w:rPr>
              <w:t>增幅（%）</w:t>
            </w:r>
          </w:p>
        </w:tc>
        <w:tc>
          <w:tcPr>
            <w:tcW w:w="920" w:type="dxa"/>
            <w:tcBorders>
              <w:top w:val="dotted" w:color="auto" w:sz="4" w:space="0"/>
              <w:left w:val="dotted" w:color="auto" w:sz="4" w:space="0"/>
              <w:bottom w:val="dotted" w:color="auto" w:sz="4" w:space="0"/>
              <w:right w:val="nil"/>
            </w:tcBorders>
            <w:vAlign w:val="center"/>
          </w:tcPr>
          <w:p w14:paraId="5A8FA86C">
            <w:pPr>
              <w:spacing w:line="240" w:lineRule="exact"/>
              <w:jc w:val="center"/>
              <w:rPr>
                <w:rFonts w:hint="default" w:ascii="Times New Roman" w:hAnsi="Times New Roman" w:eastAsia="方正黑体简体" w:cs="Times New Roman"/>
                <w:sz w:val="20"/>
                <w:szCs w:val="20"/>
              </w:rPr>
            </w:pPr>
            <w:r>
              <w:rPr>
                <w:rFonts w:hint="default" w:ascii="Times New Roman" w:hAnsi="Times New Roman" w:eastAsia="方正黑体简体" w:cs="Times New Roman"/>
                <w:sz w:val="20"/>
                <w:szCs w:val="20"/>
              </w:rPr>
              <w:t>是否</w:t>
            </w:r>
          </w:p>
          <w:p w14:paraId="543D2EE5">
            <w:pPr>
              <w:spacing w:line="240" w:lineRule="exact"/>
              <w:jc w:val="center"/>
              <w:rPr>
                <w:rFonts w:hint="default" w:ascii="Times New Roman" w:hAnsi="Times New Roman" w:eastAsia="方正黑体简体" w:cs="Times New Roman"/>
                <w:sz w:val="20"/>
                <w:szCs w:val="20"/>
              </w:rPr>
            </w:pPr>
            <w:r>
              <w:rPr>
                <w:rFonts w:hint="default" w:ascii="Times New Roman" w:hAnsi="Times New Roman" w:eastAsia="方正黑体简体" w:cs="Times New Roman"/>
                <w:sz w:val="20"/>
                <w:szCs w:val="20"/>
              </w:rPr>
              <w:t>达进度</w:t>
            </w:r>
          </w:p>
        </w:tc>
      </w:tr>
      <w:tr w14:paraId="0B00B514">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687" w:type="dxa"/>
            <w:vMerge w:val="restart"/>
            <w:tcBorders>
              <w:top w:val="dotted" w:color="auto" w:sz="4" w:space="0"/>
              <w:left w:val="nil"/>
              <w:right w:val="dotted" w:color="auto" w:sz="4" w:space="0"/>
            </w:tcBorders>
            <w:vAlign w:val="center"/>
          </w:tcPr>
          <w:p w14:paraId="1D079C47">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经济发展</w:t>
            </w:r>
          </w:p>
        </w:tc>
        <w:tc>
          <w:tcPr>
            <w:tcW w:w="621" w:type="dxa"/>
            <w:tcBorders>
              <w:top w:val="dotted" w:color="auto" w:sz="4" w:space="0"/>
              <w:left w:val="dotted" w:color="auto" w:sz="4" w:space="0"/>
              <w:bottom w:val="dotted" w:color="auto" w:sz="4" w:space="0"/>
              <w:right w:val="dotted" w:color="auto" w:sz="4" w:space="0"/>
            </w:tcBorders>
            <w:vAlign w:val="center"/>
          </w:tcPr>
          <w:p w14:paraId="480319AC">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1</w:t>
            </w:r>
          </w:p>
        </w:tc>
        <w:tc>
          <w:tcPr>
            <w:tcW w:w="3353" w:type="dxa"/>
            <w:tcBorders>
              <w:top w:val="dotted" w:color="auto" w:sz="4" w:space="0"/>
              <w:left w:val="dotted" w:color="auto" w:sz="4" w:space="0"/>
              <w:bottom w:val="dotted" w:color="auto" w:sz="4" w:space="0"/>
              <w:right w:val="dotted" w:color="auto" w:sz="4" w:space="0"/>
            </w:tcBorders>
            <w:vAlign w:val="center"/>
          </w:tcPr>
          <w:p w14:paraId="39FCB912">
            <w:pPr>
              <w:spacing w:line="240" w:lineRule="exact"/>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地区生产总值</w:t>
            </w:r>
          </w:p>
        </w:tc>
        <w:tc>
          <w:tcPr>
            <w:tcW w:w="740" w:type="dxa"/>
            <w:tcBorders>
              <w:top w:val="dotted" w:color="auto" w:sz="4" w:space="0"/>
              <w:left w:val="dotted" w:color="auto" w:sz="4" w:space="0"/>
              <w:bottom w:val="dotted" w:color="auto" w:sz="4" w:space="0"/>
              <w:right w:val="dotted" w:color="auto" w:sz="4" w:space="0"/>
            </w:tcBorders>
            <w:vAlign w:val="center"/>
          </w:tcPr>
          <w:p w14:paraId="2F54BC5C">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亿元</w:t>
            </w:r>
          </w:p>
        </w:tc>
        <w:tc>
          <w:tcPr>
            <w:tcW w:w="2016" w:type="dxa"/>
            <w:tcBorders>
              <w:top w:val="dotted" w:color="auto" w:sz="4" w:space="0"/>
              <w:left w:val="dotted" w:color="auto" w:sz="4" w:space="0"/>
              <w:bottom w:val="dotted" w:color="auto" w:sz="4" w:space="0"/>
              <w:right w:val="dotted" w:color="auto" w:sz="4" w:space="0"/>
            </w:tcBorders>
            <w:vAlign w:val="center"/>
          </w:tcPr>
          <w:p w14:paraId="60CAE093">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增长6%左右</w:t>
            </w:r>
          </w:p>
        </w:tc>
        <w:tc>
          <w:tcPr>
            <w:tcW w:w="819" w:type="dxa"/>
            <w:tcBorders>
              <w:top w:val="dotted" w:color="auto" w:sz="4" w:space="0"/>
              <w:left w:val="dotted" w:color="auto" w:sz="4" w:space="0"/>
              <w:bottom w:val="dotted" w:color="auto" w:sz="4" w:space="0"/>
              <w:right w:val="dotted" w:color="auto" w:sz="4" w:space="0"/>
            </w:tcBorders>
            <w:vAlign w:val="center"/>
          </w:tcPr>
          <w:p w14:paraId="6216485C">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298.4</w:t>
            </w:r>
          </w:p>
        </w:tc>
        <w:tc>
          <w:tcPr>
            <w:tcW w:w="1134" w:type="dxa"/>
            <w:tcBorders>
              <w:top w:val="dotted" w:color="auto" w:sz="4" w:space="0"/>
              <w:left w:val="dotted" w:color="auto" w:sz="4" w:space="0"/>
              <w:bottom w:val="dotted" w:color="auto" w:sz="4" w:space="0"/>
              <w:right w:val="dotted" w:color="auto" w:sz="4" w:space="0"/>
            </w:tcBorders>
            <w:vAlign w:val="center"/>
          </w:tcPr>
          <w:p w14:paraId="0BE2CCEA">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6.2</w:t>
            </w:r>
          </w:p>
        </w:tc>
        <w:tc>
          <w:tcPr>
            <w:tcW w:w="920" w:type="dxa"/>
            <w:tcBorders>
              <w:top w:val="dotted" w:color="auto" w:sz="4" w:space="0"/>
              <w:left w:val="dotted" w:color="auto" w:sz="4" w:space="0"/>
              <w:bottom w:val="dotted" w:color="auto" w:sz="4" w:space="0"/>
              <w:right w:val="nil"/>
            </w:tcBorders>
            <w:vAlign w:val="center"/>
          </w:tcPr>
          <w:p w14:paraId="16DBD82B">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是</w:t>
            </w:r>
          </w:p>
        </w:tc>
      </w:tr>
      <w:tr w14:paraId="61447A03">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687" w:type="dxa"/>
            <w:vMerge w:val="continue"/>
            <w:tcBorders>
              <w:left w:val="nil"/>
              <w:right w:val="dotted" w:color="auto" w:sz="4" w:space="0"/>
            </w:tcBorders>
            <w:vAlign w:val="center"/>
          </w:tcPr>
          <w:p w14:paraId="352F705F">
            <w:pPr>
              <w:spacing w:line="240" w:lineRule="exact"/>
              <w:jc w:val="center"/>
              <w:rPr>
                <w:rFonts w:hint="default" w:ascii="Times New Roman" w:hAnsi="Times New Roman" w:eastAsia="方正仿宋简体" w:cs="Times New Roman"/>
                <w:sz w:val="20"/>
                <w:szCs w:val="20"/>
              </w:rPr>
            </w:pPr>
          </w:p>
        </w:tc>
        <w:tc>
          <w:tcPr>
            <w:tcW w:w="621" w:type="dxa"/>
            <w:tcBorders>
              <w:top w:val="dotted" w:color="auto" w:sz="4" w:space="0"/>
              <w:left w:val="dotted" w:color="auto" w:sz="4" w:space="0"/>
              <w:bottom w:val="dotted" w:color="auto" w:sz="4" w:space="0"/>
              <w:right w:val="dotted" w:color="auto" w:sz="4" w:space="0"/>
            </w:tcBorders>
            <w:vAlign w:val="center"/>
          </w:tcPr>
          <w:p w14:paraId="77F6B783">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2</w:t>
            </w:r>
          </w:p>
        </w:tc>
        <w:tc>
          <w:tcPr>
            <w:tcW w:w="3353" w:type="dxa"/>
            <w:tcBorders>
              <w:top w:val="dotted" w:color="auto" w:sz="4" w:space="0"/>
              <w:left w:val="dotted" w:color="auto" w:sz="4" w:space="0"/>
              <w:bottom w:val="dotted" w:color="auto" w:sz="4" w:space="0"/>
              <w:right w:val="dotted" w:color="auto" w:sz="4" w:space="0"/>
            </w:tcBorders>
            <w:vAlign w:val="center"/>
          </w:tcPr>
          <w:p w14:paraId="4EEB15F9">
            <w:pPr>
              <w:spacing w:line="240" w:lineRule="exact"/>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全社会固定资产投资</w:t>
            </w:r>
          </w:p>
        </w:tc>
        <w:tc>
          <w:tcPr>
            <w:tcW w:w="740" w:type="dxa"/>
            <w:tcBorders>
              <w:top w:val="dotted" w:color="auto" w:sz="4" w:space="0"/>
              <w:left w:val="dotted" w:color="auto" w:sz="4" w:space="0"/>
              <w:bottom w:val="dotted" w:color="auto" w:sz="4" w:space="0"/>
              <w:right w:val="dotted" w:color="auto" w:sz="4" w:space="0"/>
            </w:tcBorders>
            <w:vAlign w:val="center"/>
          </w:tcPr>
          <w:p w14:paraId="2BB6D530">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亿元</w:t>
            </w:r>
          </w:p>
        </w:tc>
        <w:tc>
          <w:tcPr>
            <w:tcW w:w="2016" w:type="dxa"/>
            <w:tcBorders>
              <w:top w:val="dotted" w:color="auto" w:sz="4" w:space="0"/>
              <w:left w:val="dotted" w:color="auto" w:sz="4" w:space="0"/>
              <w:bottom w:val="dotted" w:color="auto" w:sz="4" w:space="0"/>
              <w:right w:val="dotted" w:color="auto" w:sz="4" w:space="0"/>
            </w:tcBorders>
            <w:vAlign w:val="center"/>
          </w:tcPr>
          <w:p w14:paraId="201D6336">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增长6%</w:t>
            </w:r>
          </w:p>
        </w:tc>
        <w:tc>
          <w:tcPr>
            <w:tcW w:w="819" w:type="dxa"/>
            <w:tcBorders>
              <w:top w:val="dotted" w:color="auto" w:sz="4" w:space="0"/>
              <w:left w:val="dotted" w:color="auto" w:sz="4" w:space="0"/>
              <w:bottom w:val="dotted" w:color="auto" w:sz="4" w:space="0"/>
              <w:right w:val="dotted" w:color="auto" w:sz="4" w:space="0"/>
            </w:tcBorders>
            <w:vAlign w:val="center"/>
          </w:tcPr>
          <w:p w14:paraId="2273E11E">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w:t>
            </w:r>
          </w:p>
        </w:tc>
        <w:tc>
          <w:tcPr>
            <w:tcW w:w="1134" w:type="dxa"/>
            <w:tcBorders>
              <w:top w:val="dotted" w:color="auto" w:sz="4" w:space="0"/>
              <w:left w:val="dotted" w:color="auto" w:sz="4" w:space="0"/>
              <w:bottom w:val="dotted" w:color="auto" w:sz="4" w:space="0"/>
              <w:right w:val="dotted" w:color="auto" w:sz="4" w:space="0"/>
            </w:tcBorders>
            <w:vAlign w:val="center"/>
          </w:tcPr>
          <w:p w14:paraId="528FEED9">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-1.3</w:t>
            </w:r>
          </w:p>
        </w:tc>
        <w:tc>
          <w:tcPr>
            <w:tcW w:w="920" w:type="dxa"/>
            <w:tcBorders>
              <w:top w:val="dotted" w:color="auto" w:sz="4" w:space="0"/>
              <w:left w:val="dotted" w:color="auto" w:sz="4" w:space="0"/>
              <w:bottom w:val="dotted" w:color="auto" w:sz="4" w:space="0"/>
              <w:right w:val="nil"/>
            </w:tcBorders>
            <w:vAlign w:val="center"/>
          </w:tcPr>
          <w:p w14:paraId="76CAE873">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否</w:t>
            </w:r>
          </w:p>
        </w:tc>
      </w:tr>
      <w:tr w14:paraId="75815E99">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687" w:type="dxa"/>
            <w:vMerge w:val="continue"/>
            <w:tcBorders>
              <w:left w:val="nil"/>
              <w:right w:val="dotted" w:color="auto" w:sz="4" w:space="0"/>
            </w:tcBorders>
            <w:vAlign w:val="center"/>
          </w:tcPr>
          <w:p w14:paraId="1B09B735">
            <w:pPr>
              <w:spacing w:line="240" w:lineRule="exact"/>
              <w:jc w:val="center"/>
              <w:rPr>
                <w:rFonts w:hint="default" w:ascii="Times New Roman" w:hAnsi="Times New Roman" w:eastAsia="方正仿宋简体" w:cs="Times New Roman"/>
                <w:sz w:val="20"/>
                <w:szCs w:val="20"/>
              </w:rPr>
            </w:pPr>
          </w:p>
        </w:tc>
        <w:tc>
          <w:tcPr>
            <w:tcW w:w="621" w:type="dxa"/>
            <w:tcBorders>
              <w:top w:val="dotted" w:color="auto" w:sz="4" w:space="0"/>
              <w:left w:val="dotted" w:color="auto" w:sz="4" w:space="0"/>
              <w:bottom w:val="dotted" w:color="auto" w:sz="4" w:space="0"/>
              <w:right w:val="dotted" w:color="auto" w:sz="4" w:space="0"/>
            </w:tcBorders>
            <w:vAlign w:val="center"/>
          </w:tcPr>
          <w:p w14:paraId="5EC6383B">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3</w:t>
            </w:r>
          </w:p>
        </w:tc>
        <w:tc>
          <w:tcPr>
            <w:tcW w:w="3353" w:type="dxa"/>
            <w:tcBorders>
              <w:top w:val="dotted" w:color="auto" w:sz="4" w:space="0"/>
              <w:left w:val="dotted" w:color="auto" w:sz="4" w:space="0"/>
              <w:bottom w:val="dotted" w:color="auto" w:sz="4" w:space="0"/>
              <w:right w:val="dotted" w:color="auto" w:sz="4" w:space="0"/>
            </w:tcBorders>
            <w:vAlign w:val="center"/>
          </w:tcPr>
          <w:p w14:paraId="75681050">
            <w:pPr>
              <w:spacing w:line="240" w:lineRule="exact"/>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社会消费品零售总额</w:t>
            </w:r>
          </w:p>
        </w:tc>
        <w:tc>
          <w:tcPr>
            <w:tcW w:w="740" w:type="dxa"/>
            <w:tcBorders>
              <w:top w:val="dotted" w:color="auto" w:sz="4" w:space="0"/>
              <w:left w:val="dotted" w:color="auto" w:sz="4" w:space="0"/>
              <w:bottom w:val="dotted" w:color="auto" w:sz="4" w:space="0"/>
              <w:right w:val="dotted" w:color="auto" w:sz="4" w:space="0"/>
            </w:tcBorders>
            <w:vAlign w:val="center"/>
          </w:tcPr>
          <w:p w14:paraId="3446C7F2">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亿元</w:t>
            </w:r>
          </w:p>
        </w:tc>
        <w:tc>
          <w:tcPr>
            <w:tcW w:w="2016" w:type="dxa"/>
            <w:tcBorders>
              <w:top w:val="dotted" w:color="auto" w:sz="4" w:space="0"/>
              <w:left w:val="dotted" w:color="auto" w:sz="4" w:space="0"/>
              <w:bottom w:val="dotted" w:color="auto" w:sz="4" w:space="0"/>
              <w:right w:val="dotted" w:color="auto" w:sz="4" w:space="0"/>
            </w:tcBorders>
            <w:vAlign w:val="center"/>
          </w:tcPr>
          <w:p w14:paraId="1A71648F">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增长6%</w:t>
            </w:r>
          </w:p>
        </w:tc>
        <w:tc>
          <w:tcPr>
            <w:tcW w:w="819" w:type="dxa"/>
            <w:tcBorders>
              <w:top w:val="dotted" w:color="auto" w:sz="4" w:space="0"/>
              <w:left w:val="dotted" w:color="auto" w:sz="4" w:space="0"/>
              <w:bottom w:val="dotted" w:color="auto" w:sz="4" w:space="0"/>
              <w:right w:val="dotted" w:color="auto" w:sz="4" w:space="0"/>
            </w:tcBorders>
            <w:vAlign w:val="center"/>
          </w:tcPr>
          <w:p w14:paraId="0B2B8D08">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193.7</w:t>
            </w:r>
          </w:p>
        </w:tc>
        <w:tc>
          <w:tcPr>
            <w:tcW w:w="1134" w:type="dxa"/>
            <w:tcBorders>
              <w:top w:val="dotted" w:color="auto" w:sz="4" w:space="0"/>
              <w:left w:val="dotted" w:color="auto" w:sz="4" w:space="0"/>
              <w:bottom w:val="dotted" w:color="auto" w:sz="4" w:space="0"/>
              <w:right w:val="dotted" w:color="auto" w:sz="4" w:space="0"/>
            </w:tcBorders>
            <w:vAlign w:val="center"/>
          </w:tcPr>
          <w:p w14:paraId="20CE1F89">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12.7</w:t>
            </w:r>
          </w:p>
        </w:tc>
        <w:tc>
          <w:tcPr>
            <w:tcW w:w="920" w:type="dxa"/>
            <w:tcBorders>
              <w:top w:val="dotted" w:color="auto" w:sz="4" w:space="0"/>
              <w:left w:val="dotted" w:color="auto" w:sz="4" w:space="0"/>
              <w:bottom w:val="dotted" w:color="auto" w:sz="4" w:space="0"/>
              <w:right w:val="nil"/>
            </w:tcBorders>
            <w:vAlign w:val="center"/>
          </w:tcPr>
          <w:p w14:paraId="1E9C8404">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是</w:t>
            </w:r>
          </w:p>
        </w:tc>
      </w:tr>
      <w:tr w14:paraId="50B6D627">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687" w:type="dxa"/>
            <w:vMerge w:val="continue"/>
            <w:tcBorders>
              <w:left w:val="nil"/>
              <w:right w:val="dotted" w:color="auto" w:sz="4" w:space="0"/>
            </w:tcBorders>
          </w:tcPr>
          <w:p w14:paraId="7F1708EB">
            <w:pPr>
              <w:spacing w:line="240" w:lineRule="exact"/>
              <w:jc w:val="center"/>
              <w:rPr>
                <w:rFonts w:hint="default" w:ascii="Times New Roman" w:hAnsi="Times New Roman" w:eastAsia="方正仿宋简体" w:cs="Times New Roman"/>
                <w:sz w:val="20"/>
                <w:szCs w:val="20"/>
              </w:rPr>
            </w:pPr>
          </w:p>
        </w:tc>
        <w:tc>
          <w:tcPr>
            <w:tcW w:w="621" w:type="dxa"/>
            <w:tcBorders>
              <w:top w:val="dotted" w:color="auto" w:sz="4" w:space="0"/>
              <w:left w:val="dotted" w:color="auto" w:sz="4" w:space="0"/>
              <w:bottom w:val="dotted" w:color="auto" w:sz="4" w:space="0"/>
              <w:right w:val="dotted" w:color="auto" w:sz="4" w:space="0"/>
            </w:tcBorders>
            <w:vAlign w:val="center"/>
          </w:tcPr>
          <w:p w14:paraId="31BE0A98">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4</w:t>
            </w:r>
          </w:p>
        </w:tc>
        <w:tc>
          <w:tcPr>
            <w:tcW w:w="3353" w:type="dxa"/>
            <w:tcBorders>
              <w:top w:val="dotted" w:color="auto" w:sz="4" w:space="0"/>
              <w:left w:val="dotted" w:color="auto" w:sz="4" w:space="0"/>
              <w:bottom w:val="dotted" w:color="auto" w:sz="4" w:space="0"/>
              <w:right w:val="dotted" w:color="auto" w:sz="4" w:space="0"/>
            </w:tcBorders>
            <w:vAlign w:val="center"/>
          </w:tcPr>
          <w:p w14:paraId="62A9405C">
            <w:pPr>
              <w:spacing w:line="240" w:lineRule="exact"/>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外贸进出口总额</w:t>
            </w:r>
          </w:p>
        </w:tc>
        <w:tc>
          <w:tcPr>
            <w:tcW w:w="740" w:type="dxa"/>
            <w:tcBorders>
              <w:top w:val="dotted" w:color="auto" w:sz="4" w:space="0"/>
              <w:left w:val="dotted" w:color="auto" w:sz="4" w:space="0"/>
              <w:bottom w:val="dotted" w:color="auto" w:sz="4" w:space="0"/>
              <w:right w:val="dotted" w:color="auto" w:sz="4" w:space="0"/>
            </w:tcBorders>
            <w:vAlign w:val="center"/>
          </w:tcPr>
          <w:p w14:paraId="1216ECC8">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亿元</w:t>
            </w:r>
          </w:p>
        </w:tc>
        <w:tc>
          <w:tcPr>
            <w:tcW w:w="2016" w:type="dxa"/>
            <w:tcBorders>
              <w:top w:val="dotted" w:color="auto" w:sz="4" w:space="0"/>
              <w:left w:val="dotted" w:color="auto" w:sz="4" w:space="0"/>
              <w:bottom w:val="dotted" w:color="auto" w:sz="4" w:space="0"/>
              <w:right w:val="dotted" w:color="auto" w:sz="4" w:space="0"/>
            </w:tcBorders>
            <w:vAlign w:val="center"/>
          </w:tcPr>
          <w:p w14:paraId="14866297">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增长3.5%</w:t>
            </w:r>
          </w:p>
        </w:tc>
        <w:tc>
          <w:tcPr>
            <w:tcW w:w="819" w:type="dxa"/>
            <w:tcBorders>
              <w:top w:val="dotted" w:color="auto" w:sz="4" w:space="0"/>
              <w:left w:val="dotted" w:color="auto" w:sz="4" w:space="0"/>
              <w:bottom w:val="dotted" w:color="auto" w:sz="4" w:space="0"/>
              <w:right w:val="dotted" w:color="auto" w:sz="4" w:space="0"/>
            </w:tcBorders>
            <w:vAlign w:val="center"/>
          </w:tcPr>
          <w:p w14:paraId="0280FB99">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42.8</w:t>
            </w:r>
          </w:p>
        </w:tc>
        <w:tc>
          <w:tcPr>
            <w:tcW w:w="1134" w:type="dxa"/>
            <w:tcBorders>
              <w:top w:val="dotted" w:color="auto" w:sz="4" w:space="0"/>
              <w:left w:val="dotted" w:color="auto" w:sz="4" w:space="0"/>
              <w:bottom w:val="dotted" w:color="auto" w:sz="4" w:space="0"/>
              <w:right w:val="dotted" w:color="auto" w:sz="4" w:space="0"/>
            </w:tcBorders>
            <w:vAlign w:val="center"/>
          </w:tcPr>
          <w:p w14:paraId="2940CDA9">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21.7</w:t>
            </w:r>
          </w:p>
        </w:tc>
        <w:tc>
          <w:tcPr>
            <w:tcW w:w="920" w:type="dxa"/>
            <w:tcBorders>
              <w:top w:val="dotted" w:color="auto" w:sz="4" w:space="0"/>
              <w:left w:val="dotted" w:color="auto" w:sz="4" w:space="0"/>
              <w:bottom w:val="dotted" w:color="auto" w:sz="4" w:space="0"/>
              <w:right w:val="nil"/>
            </w:tcBorders>
            <w:vAlign w:val="center"/>
          </w:tcPr>
          <w:p w14:paraId="361EA543">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是</w:t>
            </w:r>
          </w:p>
        </w:tc>
      </w:tr>
      <w:tr w14:paraId="44E76E85">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687" w:type="dxa"/>
            <w:vMerge w:val="continue"/>
            <w:tcBorders>
              <w:left w:val="nil"/>
              <w:right w:val="dotted" w:color="auto" w:sz="4" w:space="0"/>
            </w:tcBorders>
          </w:tcPr>
          <w:p w14:paraId="114275B4">
            <w:pPr>
              <w:spacing w:line="240" w:lineRule="exact"/>
              <w:jc w:val="center"/>
              <w:rPr>
                <w:rFonts w:hint="default" w:ascii="Times New Roman" w:hAnsi="Times New Roman" w:eastAsia="方正仿宋简体" w:cs="Times New Roman"/>
                <w:sz w:val="20"/>
                <w:szCs w:val="20"/>
              </w:rPr>
            </w:pPr>
          </w:p>
        </w:tc>
        <w:tc>
          <w:tcPr>
            <w:tcW w:w="621" w:type="dxa"/>
            <w:tcBorders>
              <w:top w:val="dotted" w:color="auto" w:sz="4" w:space="0"/>
              <w:left w:val="dotted" w:color="auto" w:sz="4" w:space="0"/>
              <w:bottom w:val="dotted" w:color="auto" w:sz="4" w:space="0"/>
              <w:right w:val="dotted" w:color="auto" w:sz="4" w:space="0"/>
            </w:tcBorders>
            <w:vAlign w:val="center"/>
          </w:tcPr>
          <w:p w14:paraId="3DAA4492">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5</w:t>
            </w:r>
          </w:p>
        </w:tc>
        <w:tc>
          <w:tcPr>
            <w:tcW w:w="3353" w:type="dxa"/>
            <w:tcBorders>
              <w:top w:val="dotted" w:color="auto" w:sz="4" w:space="0"/>
              <w:left w:val="dotted" w:color="auto" w:sz="4" w:space="0"/>
              <w:bottom w:val="dotted" w:color="auto" w:sz="4" w:space="0"/>
              <w:right w:val="dotted" w:color="auto" w:sz="4" w:space="0"/>
            </w:tcBorders>
            <w:vAlign w:val="center"/>
          </w:tcPr>
          <w:p w14:paraId="48156822">
            <w:pPr>
              <w:spacing w:line="240" w:lineRule="exact"/>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实际利用外资</w:t>
            </w:r>
          </w:p>
        </w:tc>
        <w:tc>
          <w:tcPr>
            <w:tcW w:w="740" w:type="dxa"/>
            <w:tcBorders>
              <w:top w:val="dotted" w:color="auto" w:sz="4" w:space="0"/>
              <w:left w:val="dotted" w:color="auto" w:sz="4" w:space="0"/>
              <w:bottom w:val="dotted" w:color="auto" w:sz="4" w:space="0"/>
              <w:right w:val="dotted" w:color="auto" w:sz="4" w:space="0"/>
            </w:tcBorders>
            <w:vAlign w:val="center"/>
          </w:tcPr>
          <w:p w14:paraId="7848CB0C">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万美元</w:t>
            </w:r>
          </w:p>
        </w:tc>
        <w:tc>
          <w:tcPr>
            <w:tcW w:w="2016" w:type="dxa"/>
            <w:tcBorders>
              <w:top w:val="dotted" w:color="auto" w:sz="4" w:space="0"/>
              <w:left w:val="dotted" w:color="auto" w:sz="4" w:space="0"/>
              <w:bottom w:val="dotted" w:color="auto" w:sz="4" w:space="0"/>
              <w:right w:val="dotted" w:color="auto" w:sz="4" w:space="0"/>
            </w:tcBorders>
            <w:vAlign w:val="center"/>
          </w:tcPr>
          <w:p w14:paraId="1BA27E60">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27000</w:t>
            </w:r>
          </w:p>
        </w:tc>
        <w:tc>
          <w:tcPr>
            <w:tcW w:w="819" w:type="dxa"/>
            <w:tcBorders>
              <w:top w:val="dotted" w:color="auto" w:sz="4" w:space="0"/>
              <w:left w:val="dotted" w:color="auto" w:sz="4" w:space="0"/>
              <w:bottom w:val="dotted" w:color="auto" w:sz="4" w:space="0"/>
              <w:right w:val="dotted" w:color="auto" w:sz="4" w:space="0"/>
            </w:tcBorders>
            <w:vAlign w:val="center"/>
          </w:tcPr>
          <w:p w14:paraId="43D6FBD2">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3721</w:t>
            </w:r>
          </w:p>
        </w:tc>
        <w:tc>
          <w:tcPr>
            <w:tcW w:w="1134" w:type="dxa"/>
            <w:tcBorders>
              <w:top w:val="dotted" w:color="auto" w:sz="4" w:space="0"/>
              <w:left w:val="dotted" w:color="auto" w:sz="4" w:space="0"/>
              <w:bottom w:val="dotted" w:color="auto" w:sz="4" w:space="0"/>
              <w:right w:val="dotted" w:color="auto" w:sz="4" w:space="0"/>
            </w:tcBorders>
            <w:vAlign w:val="center"/>
          </w:tcPr>
          <w:p w14:paraId="2987840D">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w:t>
            </w:r>
          </w:p>
        </w:tc>
        <w:tc>
          <w:tcPr>
            <w:tcW w:w="920" w:type="dxa"/>
            <w:tcBorders>
              <w:top w:val="dotted" w:color="auto" w:sz="4" w:space="0"/>
              <w:left w:val="dotted" w:color="auto" w:sz="4" w:space="0"/>
              <w:bottom w:val="dotted" w:color="auto" w:sz="4" w:space="0"/>
              <w:right w:val="nil"/>
            </w:tcBorders>
            <w:vAlign w:val="center"/>
          </w:tcPr>
          <w:p w14:paraId="4EE1BB9E">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否</w:t>
            </w:r>
          </w:p>
        </w:tc>
      </w:tr>
      <w:tr w14:paraId="31FE8E3F">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exact"/>
          <w:jc w:val="center"/>
        </w:trPr>
        <w:tc>
          <w:tcPr>
            <w:tcW w:w="687" w:type="dxa"/>
            <w:vMerge w:val="continue"/>
            <w:tcBorders>
              <w:left w:val="nil"/>
              <w:right w:val="dotted" w:color="auto" w:sz="4" w:space="0"/>
            </w:tcBorders>
          </w:tcPr>
          <w:p w14:paraId="7D87C126">
            <w:pPr>
              <w:spacing w:line="240" w:lineRule="exact"/>
              <w:jc w:val="center"/>
              <w:rPr>
                <w:rFonts w:hint="default" w:ascii="Times New Roman" w:hAnsi="Times New Roman" w:eastAsia="方正仿宋简体" w:cs="Times New Roman"/>
                <w:sz w:val="20"/>
                <w:szCs w:val="20"/>
              </w:rPr>
            </w:pPr>
          </w:p>
        </w:tc>
        <w:tc>
          <w:tcPr>
            <w:tcW w:w="621" w:type="dxa"/>
            <w:tcBorders>
              <w:top w:val="dotted" w:color="auto" w:sz="4" w:space="0"/>
              <w:left w:val="dotted" w:color="auto" w:sz="4" w:space="0"/>
              <w:bottom w:val="dotted" w:color="auto" w:sz="4" w:space="0"/>
              <w:right w:val="dotted" w:color="auto" w:sz="4" w:space="0"/>
            </w:tcBorders>
            <w:vAlign w:val="center"/>
          </w:tcPr>
          <w:p w14:paraId="5C09D107">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6</w:t>
            </w:r>
          </w:p>
        </w:tc>
        <w:tc>
          <w:tcPr>
            <w:tcW w:w="3353" w:type="dxa"/>
            <w:tcBorders>
              <w:top w:val="dotted" w:color="auto" w:sz="4" w:space="0"/>
              <w:left w:val="dotted" w:color="auto" w:sz="4" w:space="0"/>
              <w:bottom w:val="dotted" w:color="auto" w:sz="4" w:space="0"/>
              <w:right w:val="dotted" w:color="auto" w:sz="4" w:space="0"/>
            </w:tcBorders>
            <w:vAlign w:val="center"/>
          </w:tcPr>
          <w:p w14:paraId="7FA4EE0E">
            <w:pPr>
              <w:spacing w:line="240" w:lineRule="exact"/>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一般公共预算收入</w:t>
            </w:r>
          </w:p>
        </w:tc>
        <w:tc>
          <w:tcPr>
            <w:tcW w:w="740" w:type="dxa"/>
            <w:tcBorders>
              <w:top w:val="dotted" w:color="auto" w:sz="4" w:space="0"/>
              <w:left w:val="dotted" w:color="auto" w:sz="4" w:space="0"/>
              <w:bottom w:val="dotted" w:color="auto" w:sz="4" w:space="0"/>
              <w:right w:val="dotted" w:color="auto" w:sz="4" w:space="0"/>
            </w:tcBorders>
            <w:vAlign w:val="center"/>
          </w:tcPr>
          <w:p w14:paraId="754D7A3B">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亿元</w:t>
            </w:r>
          </w:p>
        </w:tc>
        <w:tc>
          <w:tcPr>
            <w:tcW w:w="2016" w:type="dxa"/>
            <w:tcBorders>
              <w:top w:val="dotted" w:color="auto" w:sz="4" w:space="0"/>
              <w:left w:val="dotted" w:color="auto" w:sz="4" w:space="0"/>
              <w:bottom w:val="dotted" w:color="auto" w:sz="4" w:space="0"/>
              <w:right w:val="dotted" w:color="auto" w:sz="4" w:space="0"/>
            </w:tcBorders>
            <w:vAlign w:val="center"/>
          </w:tcPr>
          <w:p w14:paraId="3857200C">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增长6%左右</w:t>
            </w:r>
          </w:p>
        </w:tc>
        <w:tc>
          <w:tcPr>
            <w:tcW w:w="819" w:type="dxa"/>
            <w:tcBorders>
              <w:top w:val="dotted" w:color="auto" w:sz="4" w:space="0"/>
              <w:left w:val="dotted" w:color="auto" w:sz="4" w:space="0"/>
              <w:bottom w:val="dotted" w:color="auto" w:sz="4" w:space="0"/>
              <w:right w:val="dotted" w:color="auto" w:sz="4" w:space="0"/>
            </w:tcBorders>
            <w:vAlign w:val="center"/>
          </w:tcPr>
          <w:p w14:paraId="01753485">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28.08</w:t>
            </w:r>
          </w:p>
        </w:tc>
        <w:tc>
          <w:tcPr>
            <w:tcW w:w="1134" w:type="dxa"/>
            <w:tcBorders>
              <w:top w:val="dotted" w:color="auto" w:sz="4" w:space="0"/>
              <w:left w:val="dotted" w:color="auto" w:sz="4" w:space="0"/>
              <w:bottom w:val="dotted" w:color="auto" w:sz="4" w:space="0"/>
              <w:right w:val="dotted" w:color="auto" w:sz="4" w:space="0"/>
            </w:tcBorders>
            <w:vAlign w:val="center"/>
          </w:tcPr>
          <w:p w14:paraId="7497200C">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增速5.1</w:t>
            </w:r>
          </w:p>
          <w:p w14:paraId="086C82B9">
            <w:pPr>
              <w:pStyle w:val="2"/>
              <w:ind w:left="0" w:leftChars="0" w:firstLine="0"/>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进度52.9</w:t>
            </w:r>
          </w:p>
        </w:tc>
        <w:tc>
          <w:tcPr>
            <w:tcW w:w="920" w:type="dxa"/>
            <w:tcBorders>
              <w:top w:val="dotted" w:color="auto" w:sz="4" w:space="0"/>
              <w:left w:val="dotted" w:color="auto" w:sz="4" w:space="0"/>
              <w:bottom w:val="dotted" w:color="auto" w:sz="4" w:space="0"/>
              <w:right w:val="nil"/>
            </w:tcBorders>
            <w:vAlign w:val="center"/>
          </w:tcPr>
          <w:p w14:paraId="45DFB3B9">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是</w:t>
            </w:r>
          </w:p>
        </w:tc>
      </w:tr>
      <w:tr w14:paraId="411A8D2A">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exact"/>
          <w:jc w:val="center"/>
        </w:trPr>
        <w:tc>
          <w:tcPr>
            <w:tcW w:w="687" w:type="dxa"/>
            <w:vMerge w:val="restart"/>
            <w:tcBorders>
              <w:top w:val="dotted" w:color="auto" w:sz="4" w:space="0"/>
              <w:left w:val="nil"/>
              <w:right w:val="dotted" w:color="auto" w:sz="4" w:space="0"/>
            </w:tcBorders>
            <w:vAlign w:val="center"/>
          </w:tcPr>
          <w:p w14:paraId="0DA3D45E">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产业强区</w:t>
            </w:r>
          </w:p>
        </w:tc>
        <w:tc>
          <w:tcPr>
            <w:tcW w:w="621" w:type="dxa"/>
            <w:tcBorders>
              <w:top w:val="dotted" w:color="auto" w:sz="4" w:space="0"/>
              <w:left w:val="dotted" w:color="auto" w:sz="4" w:space="0"/>
              <w:bottom w:val="dotted" w:color="auto" w:sz="4" w:space="0"/>
              <w:right w:val="dotted" w:color="auto" w:sz="4" w:space="0"/>
            </w:tcBorders>
            <w:vAlign w:val="center"/>
          </w:tcPr>
          <w:p w14:paraId="6116C694">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7</w:t>
            </w:r>
          </w:p>
        </w:tc>
        <w:tc>
          <w:tcPr>
            <w:tcW w:w="3353" w:type="dxa"/>
            <w:tcBorders>
              <w:top w:val="dotted" w:color="auto" w:sz="4" w:space="0"/>
              <w:left w:val="dotted" w:color="auto" w:sz="4" w:space="0"/>
              <w:bottom w:val="dotted" w:color="auto" w:sz="4" w:space="0"/>
              <w:right w:val="dotted" w:color="auto" w:sz="4" w:space="0"/>
            </w:tcBorders>
            <w:vAlign w:val="center"/>
          </w:tcPr>
          <w:p w14:paraId="41CD10F4">
            <w:pPr>
              <w:spacing w:line="240" w:lineRule="exact"/>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制造业增加值占地区生产总值比重</w:t>
            </w:r>
          </w:p>
        </w:tc>
        <w:tc>
          <w:tcPr>
            <w:tcW w:w="740" w:type="dxa"/>
            <w:tcBorders>
              <w:top w:val="dotted" w:color="auto" w:sz="4" w:space="0"/>
              <w:left w:val="dotted" w:color="auto" w:sz="4" w:space="0"/>
              <w:bottom w:val="dotted" w:color="auto" w:sz="4" w:space="0"/>
              <w:right w:val="dotted" w:color="auto" w:sz="4" w:space="0"/>
            </w:tcBorders>
            <w:vAlign w:val="center"/>
          </w:tcPr>
          <w:p w14:paraId="73103DC6">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w:t>
            </w:r>
          </w:p>
        </w:tc>
        <w:tc>
          <w:tcPr>
            <w:tcW w:w="2016" w:type="dxa"/>
            <w:tcBorders>
              <w:top w:val="dotted" w:color="auto" w:sz="4" w:space="0"/>
              <w:left w:val="dotted" w:color="auto" w:sz="4" w:space="0"/>
              <w:bottom w:val="dotted" w:color="auto" w:sz="4" w:space="0"/>
              <w:right w:val="dotted" w:color="auto" w:sz="4" w:space="0"/>
            </w:tcBorders>
            <w:vAlign w:val="center"/>
          </w:tcPr>
          <w:p w14:paraId="511ECCAA">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32</w:t>
            </w:r>
          </w:p>
        </w:tc>
        <w:tc>
          <w:tcPr>
            <w:tcW w:w="819" w:type="dxa"/>
            <w:tcBorders>
              <w:top w:val="dotted" w:color="auto" w:sz="4" w:space="0"/>
              <w:left w:val="dotted" w:color="auto" w:sz="4" w:space="0"/>
              <w:bottom w:val="dotted" w:color="auto" w:sz="4" w:space="0"/>
              <w:right w:val="dotted" w:color="auto" w:sz="4" w:space="0"/>
            </w:tcBorders>
            <w:vAlign w:val="center"/>
          </w:tcPr>
          <w:p w14:paraId="259E79CA">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32</w:t>
            </w:r>
          </w:p>
        </w:tc>
        <w:tc>
          <w:tcPr>
            <w:tcW w:w="1134" w:type="dxa"/>
            <w:tcBorders>
              <w:top w:val="dotted" w:color="auto" w:sz="4" w:space="0"/>
              <w:left w:val="dotted" w:color="auto" w:sz="4" w:space="0"/>
              <w:bottom w:val="dotted" w:color="auto" w:sz="4" w:space="0"/>
              <w:right w:val="dotted" w:color="auto" w:sz="4" w:space="0"/>
            </w:tcBorders>
            <w:vAlign w:val="center"/>
          </w:tcPr>
          <w:p w14:paraId="4BB300AA">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w:t>
            </w:r>
          </w:p>
        </w:tc>
        <w:tc>
          <w:tcPr>
            <w:tcW w:w="920" w:type="dxa"/>
            <w:tcBorders>
              <w:top w:val="dotted" w:color="auto" w:sz="4" w:space="0"/>
              <w:left w:val="dotted" w:color="auto" w:sz="4" w:space="0"/>
              <w:bottom w:val="dotted" w:color="auto" w:sz="4" w:space="0"/>
              <w:right w:val="nil"/>
            </w:tcBorders>
            <w:vAlign w:val="center"/>
          </w:tcPr>
          <w:p w14:paraId="2D2D6222">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是</w:t>
            </w:r>
          </w:p>
        </w:tc>
      </w:tr>
      <w:tr w14:paraId="51FD5E07">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exact"/>
          <w:jc w:val="center"/>
        </w:trPr>
        <w:tc>
          <w:tcPr>
            <w:tcW w:w="687" w:type="dxa"/>
            <w:vMerge w:val="continue"/>
            <w:tcBorders>
              <w:left w:val="nil"/>
              <w:right w:val="dotted" w:color="auto" w:sz="4" w:space="0"/>
            </w:tcBorders>
          </w:tcPr>
          <w:p w14:paraId="32A663CB">
            <w:pPr>
              <w:spacing w:line="240" w:lineRule="exact"/>
              <w:jc w:val="center"/>
              <w:rPr>
                <w:rFonts w:hint="default" w:ascii="Times New Roman" w:hAnsi="Times New Roman" w:eastAsia="方正仿宋简体" w:cs="Times New Roman"/>
                <w:sz w:val="20"/>
                <w:szCs w:val="20"/>
              </w:rPr>
            </w:pPr>
          </w:p>
        </w:tc>
        <w:tc>
          <w:tcPr>
            <w:tcW w:w="621" w:type="dxa"/>
            <w:tcBorders>
              <w:top w:val="dotted" w:color="auto" w:sz="4" w:space="0"/>
              <w:left w:val="dotted" w:color="auto" w:sz="4" w:space="0"/>
              <w:bottom w:val="dotted" w:color="auto" w:sz="4" w:space="0"/>
              <w:right w:val="dotted" w:color="auto" w:sz="4" w:space="0"/>
            </w:tcBorders>
            <w:vAlign w:val="center"/>
          </w:tcPr>
          <w:p w14:paraId="344F2CED">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8</w:t>
            </w:r>
          </w:p>
        </w:tc>
        <w:tc>
          <w:tcPr>
            <w:tcW w:w="3353" w:type="dxa"/>
            <w:tcBorders>
              <w:top w:val="dotted" w:color="auto" w:sz="4" w:space="0"/>
              <w:left w:val="dotted" w:color="auto" w:sz="4" w:space="0"/>
              <w:bottom w:val="dotted" w:color="auto" w:sz="4" w:space="0"/>
              <w:right w:val="dotted" w:color="auto" w:sz="4" w:space="0"/>
            </w:tcBorders>
            <w:vAlign w:val="center"/>
          </w:tcPr>
          <w:p w14:paraId="5C7B5331">
            <w:pPr>
              <w:spacing w:line="240" w:lineRule="exact"/>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工业战略性新兴产业总产值占工业总产值比重</w:t>
            </w:r>
          </w:p>
        </w:tc>
        <w:tc>
          <w:tcPr>
            <w:tcW w:w="740" w:type="dxa"/>
            <w:tcBorders>
              <w:top w:val="dotted" w:color="auto" w:sz="4" w:space="0"/>
              <w:left w:val="dotted" w:color="auto" w:sz="4" w:space="0"/>
              <w:bottom w:val="dotted" w:color="auto" w:sz="4" w:space="0"/>
              <w:right w:val="dotted" w:color="auto" w:sz="4" w:space="0"/>
            </w:tcBorders>
            <w:vAlign w:val="center"/>
          </w:tcPr>
          <w:p w14:paraId="02336981">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w:t>
            </w:r>
          </w:p>
        </w:tc>
        <w:tc>
          <w:tcPr>
            <w:tcW w:w="2016" w:type="dxa"/>
            <w:tcBorders>
              <w:top w:val="dotted" w:color="auto" w:sz="4" w:space="0"/>
              <w:left w:val="dotted" w:color="auto" w:sz="4" w:space="0"/>
              <w:bottom w:val="dotted" w:color="auto" w:sz="4" w:space="0"/>
              <w:right w:val="dotted" w:color="auto" w:sz="4" w:space="0"/>
            </w:tcBorders>
            <w:vAlign w:val="center"/>
          </w:tcPr>
          <w:p w14:paraId="09632028">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42以上</w:t>
            </w:r>
          </w:p>
        </w:tc>
        <w:tc>
          <w:tcPr>
            <w:tcW w:w="2873" w:type="dxa"/>
            <w:gridSpan w:val="3"/>
            <w:tcBorders>
              <w:top w:val="dotted" w:color="auto" w:sz="4" w:space="0"/>
              <w:left w:val="dotted" w:color="auto" w:sz="4" w:space="0"/>
              <w:bottom w:val="dotted" w:color="auto" w:sz="4" w:space="0"/>
              <w:right w:val="nil"/>
            </w:tcBorders>
            <w:vAlign w:val="center"/>
          </w:tcPr>
          <w:p w14:paraId="32390EE6">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年度指标</w:t>
            </w:r>
          </w:p>
        </w:tc>
      </w:tr>
      <w:tr w14:paraId="1B6D4751">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exact"/>
          <w:jc w:val="center"/>
        </w:trPr>
        <w:tc>
          <w:tcPr>
            <w:tcW w:w="687" w:type="dxa"/>
            <w:vMerge w:val="continue"/>
            <w:tcBorders>
              <w:left w:val="nil"/>
              <w:right w:val="dotted" w:color="auto" w:sz="4" w:space="0"/>
            </w:tcBorders>
          </w:tcPr>
          <w:p w14:paraId="000D0F89">
            <w:pPr>
              <w:spacing w:line="240" w:lineRule="exact"/>
              <w:jc w:val="center"/>
              <w:rPr>
                <w:rFonts w:hint="default" w:ascii="Times New Roman" w:hAnsi="Times New Roman" w:eastAsia="方正仿宋简体" w:cs="Times New Roman"/>
                <w:sz w:val="20"/>
                <w:szCs w:val="20"/>
              </w:rPr>
            </w:pPr>
          </w:p>
        </w:tc>
        <w:tc>
          <w:tcPr>
            <w:tcW w:w="621" w:type="dxa"/>
            <w:tcBorders>
              <w:top w:val="dotted" w:color="auto" w:sz="4" w:space="0"/>
              <w:left w:val="dotted" w:color="auto" w:sz="4" w:space="0"/>
              <w:bottom w:val="dotted" w:color="auto" w:sz="4" w:space="0"/>
              <w:right w:val="dotted" w:color="auto" w:sz="4" w:space="0"/>
            </w:tcBorders>
            <w:vAlign w:val="center"/>
          </w:tcPr>
          <w:p w14:paraId="101997D8">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9</w:t>
            </w:r>
          </w:p>
        </w:tc>
        <w:tc>
          <w:tcPr>
            <w:tcW w:w="3353" w:type="dxa"/>
            <w:tcBorders>
              <w:top w:val="dotted" w:color="auto" w:sz="4" w:space="0"/>
              <w:left w:val="dotted" w:color="auto" w:sz="4" w:space="0"/>
              <w:bottom w:val="dotted" w:color="auto" w:sz="4" w:space="0"/>
              <w:right w:val="dotted" w:color="auto" w:sz="4" w:space="0"/>
            </w:tcBorders>
            <w:vAlign w:val="center"/>
          </w:tcPr>
          <w:p w14:paraId="40E2FF3B">
            <w:pPr>
              <w:spacing w:line="240" w:lineRule="exact"/>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生产性服务业增加值占服务业比重</w:t>
            </w:r>
          </w:p>
        </w:tc>
        <w:tc>
          <w:tcPr>
            <w:tcW w:w="740" w:type="dxa"/>
            <w:tcBorders>
              <w:top w:val="dotted" w:color="auto" w:sz="4" w:space="0"/>
              <w:left w:val="dotted" w:color="auto" w:sz="4" w:space="0"/>
              <w:bottom w:val="dotted" w:color="auto" w:sz="4" w:space="0"/>
              <w:right w:val="dotted" w:color="auto" w:sz="4" w:space="0"/>
            </w:tcBorders>
            <w:vAlign w:val="center"/>
          </w:tcPr>
          <w:p w14:paraId="5F663FAF">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w:t>
            </w:r>
          </w:p>
        </w:tc>
        <w:tc>
          <w:tcPr>
            <w:tcW w:w="2016" w:type="dxa"/>
            <w:tcBorders>
              <w:top w:val="dotted" w:color="auto" w:sz="4" w:space="0"/>
              <w:left w:val="dotted" w:color="auto" w:sz="4" w:space="0"/>
              <w:bottom w:val="dotted" w:color="auto" w:sz="4" w:space="0"/>
              <w:right w:val="dotted" w:color="auto" w:sz="4" w:space="0"/>
            </w:tcBorders>
            <w:vAlign w:val="center"/>
          </w:tcPr>
          <w:p w14:paraId="70A60E9D">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达市定目标</w:t>
            </w:r>
          </w:p>
        </w:tc>
        <w:tc>
          <w:tcPr>
            <w:tcW w:w="2873" w:type="dxa"/>
            <w:gridSpan w:val="3"/>
            <w:tcBorders>
              <w:top w:val="dotted" w:color="auto" w:sz="4" w:space="0"/>
              <w:left w:val="dotted" w:color="auto" w:sz="4" w:space="0"/>
              <w:bottom w:val="dotted" w:color="auto" w:sz="4" w:space="0"/>
              <w:right w:val="nil"/>
            </w:tcBorders>
            <w:vAlign w:val="center"/>
          </w:tcPr>
          <w:p w14:paraId="6C97ED08">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年度指标</w:t>
            </w:r>
          </w:p>
        </w:tc>
      </w:tr>
      <w:tr w14:paraId="158D94C8">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exact"/>
          <w:jc w:val="center"/>
        </w:trPr>
        <w:tc>
          <w:tcPr>
            <w:tcW w:w="687" w:type="dxa"/>
            <w:vMerge w:val="continue"/>
            <w:tcBorders>
              <w:left w:val="nil"/>
              <w:right w:val="dotted" w:color="auto" w:sz="4" w:space="0"/>
            </w:tcBorders>
          </w:tcPr>
          <w:p w14:paraId="4A55A832">
            <w:pPr>
              <w:spacing w:line="240" w:lineRule="exact"/>
              <w:jc w:val="center"/>
              <w:rPr>
                <w:rFonts w:hint="default" w:ascii="Times New Roman" w:hAnsi="Times New Roman" w:eastAsia="方正仿宋简体" w:cs="Times New Roman"/>
                <w:sz w:val="20"/>
                <w:szCs w:val="20"/>
              </w:rPr>
            </w:pPr>
          </w:p>
        </w:tc>
        <w:tc>
          <w:tcPr>
            <w:tcW w:w="621" w:type="dxa"/>
            <w:tcBorders>
              <w:top w:val="dotted" w:color="auto" w:sz="4" w:space="0"/>
              <w:left w:val="dotted" w:color="auto" w:sz="4" w:space="0"/>
              <w:bottom w:val="dotted" w:color="auto" w:sz="4" w:space="0"/>
              <w:right w:val="dotted" w:color="auto" w:sz="4" w:space="0"/>
            </w:tcBorders>
            <w:vAlign w:val="center"/>
          </w:tcPr>
          <w:p w14:paraId="532261BA">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10</w:t>
            </w:r>
          </w:p>
        </w:tc>
        <w:tc>
          <w:tcPr>
            <w:tcW w:w="3353" w:type="dxa"/>
            <w:tcBorders>
              <w:top w:val="dotted" w:color="auto" w:sz="4" w:space="0"/>
              <w:left w:val="dotted" w:color="auto" w:sz="4" w:space="0"/>
              <w:bottom w:val="dotted" w:color="auto" w:sz="4" w:space="0"/>
              <w:right w:val="dotted" w:color="auto" w:sz="4" w:space="0"/>
            </w:tcBorders>
            <w:vAlign w:val="center"/>
          </w:tcPr>
          <w:p w14:paraId="690BF50F">
            <w:pPr>
              <w:spacing w:line="240" w:lineRule="exact"/>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新增国家和省级专精特新企业数</w:t>
            </w:r>
          </w:p>
        </w:tc>
        <w:tc>
          <w:tcPr>
            <w:tcW w:w="740" w:type="dxa"/>
            <w:tcBorders>
              <w:top w:val="dotted" w:color="auto" w:sz="4" w:space="0"/>
              <w:left w:val="dotted" w:color="auto" w:sz="4" w:space="0"/>
              <w:bottom w:val="dotted" w:color="auto" w:sz="4" w:space="0"/>
              <w:right w:val="dotted" w:color="auto" w:sz="4" w:space="0"/>
            </w:tcBorders>
            <w:vAlign w:val="center"/>
          </w:tcPr>
          <w:p w14:paraId="0AC52E26">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家</w:t>
            </w:r>
          </w:p>
        </w:tc>
        <w:tc>
          <w:tcPr>
            <w:tcW w:w="2016" w:type="dxa"/>
            <w:tcBorders>
              <w:top w:val="dotted" w:color="auto" w:sz="4" w:space="0"/>
              <w:left w:val="dotted" w:color="auto" w:sz="4" w:space="0"/>
              <w:bottom w:val="dotted" w:color="auto" w:sz="4" w:space="0"/>
              <w:right w:val="dotted" w:color="auto" w:sz="4" w:space="0"/>
            </w:tcBorders>
            <w:vAlign w:val="center"/>
          </w:tcPr>
          <w:p w14:paraId="49881848">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达市定目标</w:t>
            </w:r>
          </w:p>
        </w:tc>
        <w:tc>
          <w:tcPr>
            <w:tcW w:w="819" w:type="dxa"/>
            <w:tcBorders>
              <w:top w:val="dotted" w:color="auto" w:sz="4" w:space="0"/>
              <w:left w:val="dotted" w:color="auto" w:sz="4" w:space="0"/>
              <w:bottom w:val="dotted" w:color="auto" w:sz="4" w:space="0"/>
              <w:right w:val="nil"/>
            </w:tcBorders>
            <w:vAlign w:val="center"/>
          </w:tcPr>
          <w:p w14:paraId="6B93D507">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11</w:t>
            </w:r>
          </w:p>
        </w:tc>
        <w:tc>
          <w:tcPr>
            <w:tcW w:w="1134" w:type="dxa"/>
            <w:tcBorders>
              <w:top w:val="dotted" w:color="auto" w:sz="4" w:space="0"/>
              <w:left w:val="dotted" w:color="auto" w:sz="4" w:space="0"/>
              <w:bottom w:val="dotted" w:color="auto" w:sz="4" w:space="0"/>
              <w:right w:val="nil"/>
            </w:tcBorders>
            <w:vAlign w:val="center"/>
          </w:tcPr>
          <w:p w14:paraId="21606A00">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w:t>
            </w:r>
          </w:p>
        </w:tc>
        <w:tc>
          <w:tcPr>
            <w:tcW w:w="920" w:type="dxa"/>
            <w:tcBorders>
              <w:top w:val="dotted" w:color="auto" w:sz="4" w:space="0"/>
              <w:left w:val="dotted" w:color="auto" w:sz="4" w:space="0"/>
              <w:bottom w:val="dotted" w:color="auto" w:sz="4" w:space="0"/>
              <w:right w:val="nil"/>
            </w:tcBorders>
            <w:vAlign w:val="center"/>
          </w:tcPr>
          <w:p w14:paraId="05187001">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是</w:t>
            </w:r>
          </w:p>
        </w:tc>
      </w:tr>
      <w:tr w14:paraId="5901882A">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exact"/>
          <w:jc w:val="center"/>
        </w:trPr>
        <w:tc>
          <w:tcPr>
            <w:tcW w:w="687" w:type="dxa"/>
            <w:vMerge w:val="continue"/>
            <w:tcBorders>
              <w:left w:val="nil"/>
              <w:right w:val="dotted" w:color="auto" w:sz="4" w:space="0"/>
            </w:tcBorders>
            <w:vAlign w:val="center"/>
          </w:tcPr>
          <w:p w14:paraId="73917BE5">
            <w:pPr>
              <w:spacing w:line="240" w:lineRule="exact"/>
              <w:jc w:val="center"/>
              <w:rPr>
                <w:rFonts w:hint="default" w:ascii="Times New Roman" w:hAnsi="Times New Roman" w:eastAsia="方正仿宋简体" w:cs="Times New Roman"/>
                <w:sz w:val="20"/>
                <w:szCs w:val="20"/>
              </w:rPr>
            </w:pPr>
          </w:p>
        </w:tc>
        <w:tc>
          <w:tcPr>
            <w:tcW w:w="621" w:type="dxa"/>
            <w:tcBorders>
              <w:top w:val="dotted" w:color="auto" w:sz="4" w:space="0"/>
              <w:left w:val="dotted" w:color="auto" w:sz="4" w:space="0"/>
              <w:bottom w:val="dotted" w:color="auto" w:sz="4" w:space="0"/>
              <w:right w:val="dotted" w:color="auto" w:sz="4" w:space="0"/>
            </w:tcBorders>
            <w:vAlign w:val="center"/>
          </w:tcPr>
          <w:p w14:paraId="2F4AE5B8">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11</w:t>
            </w:r>
          </w:p>
        </w:tc>
        <w:tc>
          <w:tcPr>
            <w:tcW w:w="3353" w:type="dxa"/>
            <w:tcBorders>
              <w:top w:val="dotted" w:color="auto" w:sz="4" w:space="0"/>
              <w:left w:val="dotted" w:color="auto" w:sz="4" w:space="0"/>
              <w:bottom w:val="dotted" w:color="auto" w:sz="4" w:space="0"/>
              <w:right w:val="dotted" w:color="auto" w:sz="4" w:space="0"/>
            </w:tcBorders>
            <w:vAlign w:val="center"/>
          </w:tcPr>
          <w:p w14:paraId="675BA27A">
            <w:pPr>
              <w:spacing w:line="240" w:lineRule="exact"/>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制造业智能化改造和数字化转型改造企业数</w:t>
            </w:r>
          </w:p>
        </w:tc>
        <w:tc>
          <w:tcPr>
            <w:tcW w:w="740" w:type="dxa"/>
            <w:tcBorders>
              <w:top w:val="dotted" w:color="auto" w:sz="4" w:space="0"/>
              <w:left w:val="dotted" w:color="auto" w:sz="4" w:space="0"/>
              <w:bottom w:val="dotted" w:color="auto" w:sz="4" w:space="0"/>
              <w:right w:val="dotted" w:color="auto" w:sz="4" w:space="0"/>
            </w:tcBorders>
            <w:vAlign w:val="center"/>
          </w:tcPr>
          <w:p w14:paraId="41750BF8">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家</w:t>
            </w:r>
          </w:p>
        </w:tc>
        <w:tc>
          <w:tcPr>
            <w:tcW w:w="2016" w:type="dxa"/>
            <w:tcBorders>
              <w:top w:val="dotted" w:color="auto" w:sz="4" w:space="0"/>
              <w:left w:val="dotted" w:color="auto" w:sz="4" w:space="0"/>
              <w:bottom w:val="dotted" w:color="auto" w:sz="4" w:space="0"/>
              <w:right w:val="dotted" w:color="auto" w:sz="4" w:space="0"/>
            </w:tcBorders>
            <w:vAlign w:val="center"/>
          </w:tcPr>
          <w:p w14:paraId="42590747">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达市定目标</w:t>
            </w:r>
          </w:p>
        </w:tc>
        <w:tc>
          <w:tcPr>
            <w:tcW w:w="819" w:type="dxa"/>
            <w:tcBorders>
              <w:top w:val="dotted" w:color="auto" w:sz="4" w:space="0"/>
              <w:left w:val="dotted" w:color="auto" w:sz="4" w:space="0"/>
              <w:bottom w:val="dotted" w:color="auto" w:sz="4" w:space="0"/>
              <w:right w:val="nil"/>
            </w:tcBorders>
            <w:vAlign w:val="center"/>
          </w:tcPr>
          <w:p w14:paraId="6C7914FE">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65</w:t>
            </w:r>
          </w:p>
        </w:tc>
        <w:tc>
          <w:tcPr>
            <w:tcW w:w="1134" w:type="dxa"/>
            <w:tcBorders>
              <w:top w:val="dotted" w:color="auto" w:sz="4" w:space="0"/>
              <w:left w:val="dotted" w:color="auto" w:sz="4" w:space="0"/>
              <w:bottom w:val="dotted" w:color="auto" w:sz="4" w:space="0"/>
              <w:right w:val="nil"/>
            </w:tcBorders>
            <w:vAlign w:val="center"/>
          </w:tcPr>
          <w:p w14:paraId="7C274B2E">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w:t>
            </w:r>
          </w:p>
        </w:tc>
        <w:tc>
          <w:tcPr>
            <w:tcW w:w="920" w:type="dxa"/>
            <w:tcBorders>
              <w:top w:val="dotted" w:color="auto" w:sz="4" w:space="0"/>
              <w:left w:val="dotted" w:color="auto" w:sz="4" w:space="0"/>
              <w:bottom w:val="dotted" w:color="auto" w:sz="4" w:space="0"/>
              <w:right w:val="nil"/>
            </w:tcBorders>
            <w:vAlign w:val="center"/>
          </w:tcPr>
          <w:p w14:paraId="0A7C2E1B">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是</w:t>
            </w:r>
          </w:p>
        </w:tc>
      </w:tr>
      <w:tr w14:paraId="532E8C04">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exact"/>
          <w:jc w:val="center"/>
        </w:trPr>
        <w:tc>
          <w:tcPr>
            <w:tcW w:w="687" w:type="dxa"/>
            <w:vMerge w:val="continue"/>
            <w:tcBorders>
              <w:left w:val="nil"/>
              <w:bottom w:val="dotted" w:color="auto" w:sz="4" w:space="0"/>
              <w:right w:val="dotted" w:color="auto" w:sz="4" w:space="0"/>
            </w:tcBorders>
            <w:vAlign w:val="center"/>
          </w:tcPr>
          <w:p w14:paraId="2AD1A29A">
            <w:pPr>
              <w:spacing w:line="240" w:lineRule="exact"/>
              <w:jc w:val="center"/>
              <w:rPr>
                <w:rFonts w:hint="default" w:ascii="Times New Roman" w:hAnsi="Times New Roman" w:eastAsia="方正仿宋简体" w:cs="Times New Roman"/>
                <w:sz w:val="20"/>
                <w:szCs w:val="20"/>
              </w:rPr>
            </w:pPr>
          </w:p>
        </w:tc>
        <w:tc>
          <w:tcPr>
            <w:tcW w:w="621" w:type="dxa"/>
            <w:tcBorders>
              <w:top w:val="dotted" w:color="auto" w:sz="4" w:space="0"/>
              <w:left w:val="dotted" w:color="auto" w:sz="4" w:space="0"/>
              <w:bottom w:val="dotted" w:color="auto" w:sz="4" w:space="0"/>
              <w:right w:val="dotted" w:color="auto" w:sz="4" w:space="0"/>
            </w:tcBorders>
            <w:vAlign w:val="center"/>
          </w:tcPr>
          <w:p w14:paraId="4757C4A3">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12</w:t>
            </w:r>
          </w:p>
        </w:tc>
        <w:tc>
          <w:tcPr>
            <w:tcW w:w="3353" w:type="dxa"/>
            <w:tcBorders>
              <w:top w:val="dotted" w:color="auto" w:sz="4" w:space="0"/>
              <w:left w:val="dotted" w:color="auto" w:sz="4" w:space="0"/>
              <w:bottom w:val="dotted" w:color="auto" w:sz="4" w:space="0"/>
              <w:right w:val="dotted" w:color="auto" w:sz="4" w:space="0"/>
            </w:tcBorders>
            <w:vAlign w:val="center"/>
          </w:tcPr>
          <w:p w14:paraId="0D1F8120">
            <w:pPr>
              <w:spacing w:line="240" w:lineRule="exact"/>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数字经济核心产业增加值占地区生产总值比重</w:t>
            </w:r>
          </w:p>
        </w:tc>
        <w:tc>
          <w:tcPr>
            <w:tcW w:w="740" w:type="dxa"/>
            <w:tcBorders>
              <w:top w:val="dotted" w:color="auto" w:sz="4" w:space="0"/>
              <w:left w:val="dotted" w:color="auto" w:sz="4" w:space="0"/>
              <w:bottom w:val="dotted" w:color="auto" w:sz="4" w:space="0"/>
              <w:right w:val="dotted" w:color="auto" w:sz="4" w:space="0"/>
            </w:tcBorders>
            <w:vAlign w:val="center"/>
          </w:tcPr>
          <w:p w14:paraId="0CA96F49">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w:t>
            </w:r>
          </w:p>
        </w:tc>
        <w:tc>
          <w:tcPr>
            <w:tcW w:w="2016" w:type="dxa"/>
            <w:tcBorders>
              <w:top w:val="dotted" w:color="auto" w:sz="4" w:space="0"/>
              <w:left w:val="dotted" w:color="auto" w:sz="4" w:space="0"/>
              <w:bottom w:val="dotted" w:color="auto" w:sz="4" w:space="0"/>
              <w:right w:val="dotted" w:color="auto" w:sz="4" w:space="0"/>
            </w:tcBorders>
            <w:vAlign w:val="center"/>
          </w:tcPr>
          <w:p w14:paraId="5B1F0202">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达市定目标</w:t>
            </w:r>
          </w:p>
        </w:tc>
        <w:tc>
          <w:tcPr>
            <w:tcW w:w="2873" w:type="dxa"/>
            <w:gridSpan w:val="3"/>
            <w:tcBorders>
              <w:top w:val="dotted" w:color="auto" w:sz="4" w:space="0"/>
              <w:left w:val="dotted" w:color="auto" w:sz="4" w:space="0"/>
              <w:bottom w:val="dotted" w:color="auto" w:sz="4" w:space="0"/>
              <w:right w:val="nil"/>
            </w:tcBorders>
            <w:vAlign w:val="center"/>
          </w:tcPr>
          <w:p w14:paraId="4F9CF34C">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年度指标</w:t>
            </w:r>
          </w:p>
        </w:tc>
      </w:tr>
      <w:tr w14:paraId="4952A0F1">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687" w:type="dxa"/>
            <w:vMerge w:val="restart"/>
            <w:tcBorders>
              <w:top w:val="dotted" w:color="auto" w:sz="4" w:space="0"/>
              <w:left w:val="nil"/>
              <w:right w:val="dotted" w:color="auto" w:sz="4" w:space="0"/>
            </w:tcBorders>
            <w:vAlign w:val="center"/>
          </w:tcPr>
          <w:p w14:paraId="3BBE5463">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创新驱动</w:t>
            </w:r>
          </w:p>
        </w:tc>
        <w:tc>
          <w:tcPr>
            <w:tcW w:w="621" w:type="dxa"/>
            <w:tcBorders>
              <w:top w:val="dotted" w:color="auto" w:sz="4" w:space="0"/>
              <w:left w:val="dotted" w:color="auto" w:sz="4" w:space="0"/>
              <w:bottom w:val="dotted" w:color="auto" w:sz="4" w:space="0"/>
              <w:right w:val="dotted" w:color="auto" w:sz="4" w:space="0"/>
            </w:tcBorders>
            <w:vAlign w:val="center"/>
          </w:tcPr>
          <w:p w14:paraId="0FB83921">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13</w:t>
            </w:r>
          </w:p>
        </w:tc>
        <w:tc>
          <w:tcPr>
            <w:tcW w:w="3353" w:type="dxa"/>
            <w:tcBorders>
              <w:top w:val="dotted" w:color="auto" w:sz="4" w:space="0"/>
              <w:left w:val="dotted" w:color="auto" w:sz="4" w:space="0"/>
              <w:bottom w:val="dotted" w:color="auto" w:sz="4" w:space="0"/>
              <w:right w:val="dotted" w:color="auto" w:sz="4" w:space="0"/>
            </w:tcBorders>
            <w:vAlign w:val="center"/>
          </w:tcPr>
          <w:p w14:paraId="29744E54">
            <w:pPr>
              <w:spacing w:line="240" w:lineRule="exact"/>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高新技术企业数有效期内总数</w:t>
            </w:r>
          </w:p>
        </w:tc>
        <w:tc>
          <w:tcPr>
            <w:tcW w:w="740" w:type="dxa"/>
            <w:tcBorders>
              <w:top w:val="dotted" w:color="auto" w:sz="4" w:space="0"/>
              <w:left w:val="dotted" w:color="auto" w:sz="4" w:space="0"/>
              <w:bottom w:val="dotted" w:color="auto" w:sz="4" w:space="0"/>
              <w:right w:val="dotted" w:color="auto" w:sz="4" w:space="0"/>
            </w:tcBorders>
            <w:vAlign w:val="center"/>
          </w:tcPr>
          <w:p w14:paraId="6DEDADDA">
            <w:pPr>
              <w:spacing w:line="24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0"/>
                <w:szCs w:val="20"/>
              </w:rPr>
              <w:t>家</w:t>
            </w:r>
          </w:p>
        </w:tc>
        <w:tc>
          <w:tcPr>
            <w:tcW w:w="2016" w:type="dxa"/>
            <w:tcBorders>
              <w:top w:val="dotted" w:color="auto" w:sz="4" w:space="0"/>
              <w:left w:val="dotted" w:color="auto" w:sz="4" w:space="0"/>
              <w:bottom w:val="dotted" w:color="auto" w:sz="4" w:space="0"/>
              <w:right w:val="dotted" w:color="auto" w:sz="4" w:space="0"/>
            </w:tcBorders>
            <w:vAlign w:val="center"/>
          </w:tcPr>
          <w:p w14:paraId="52336D05">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突破400</w:t>
            </w:r>
          </w:p>
        </w:tc>
        <w:tc>
          <w:tcPr>
            <w:tcW w:w="2873" w:type="dxa"/>
            <w:gridSpan w:val="3"/>
            <w:tcBorders>
              <w:top w:val="dotted" w:color="auto" w:sz="4" w:space="0"/>
              <w:left w:val="dotted" w:color="auto" w:sz="4" w:space="0"/>
              <w:bottom w:val="dotted" w:color="auto" w:sz="4" w:space="0"/>
              <w:right w:val="nil"/>
            </w:tcBorders>
            <w:vAlign w:val="center"/>
          </w:tcPr>
          <w:p w14:paraId="19EA3727">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年度指标</w:t>
            </w:r>
          </w:p>
        </w:tc>
      </w:tr>
      <w:tr w14:paraId="620AD417">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exact"/>
          <w:jc w:val="center"/>
        </w:trPr>
        <w:tc>
          <w:tcPr>
            <w:tcW w:w="687" w:type="dxa"/>
            <w:vMerge w:val="continue"/>
            <w:tcBorders>
              <w:left w:val="nil"/>
              <w:right w:val="dotted" w:color="auto" w:sz="4" w:space="0"/>
            </w:tcBorders>
            <w:vAlign w:val="center"/>
          </w:tcPr>
          <w:p w14:paraId="01F52C39">
            <w:pPr>
              <w:spacing w:line="240" w:lineRule="exact"/>
              <w:jc w:val="center"/>
              <w:rPr>
                <w:rFonts w:hint="default" w:ascii="Times New Roman" w:hAnsi="Times New Roman" w:eastAsia="方正仿宋简体" w:cs="Times New Roman"/>
                <w:sz w:val="20"/>
                <w:szCs w:val="20"/>
              </w:rPr>
            </w:pPr>
          </w:p>
        </w:tc>
        <w:tc>
          <w:tcPr>
            <w:tcW w:w="621" w:type="dxa"/>
            <w:tcBorders>
              <w:top w:val="dotted" w:color="auto" w:sz="4" w:space="0"/>
              <w:left w:val="dotted" w:color="auto" w:sz="4" w:space="0"/>
              <w:bottom w:val="dotted" w:color="auto" w:sz="4" w:space="0"/>
              <w:right w:val="dotted" w:color="auto" w:sz="4" w:space="0"/>
            </w:tcBorders>
            <w:vAlign w:val="center"/>
          </w:tcPr>
          <w:p w14:paraId="35AE450C">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14</w:t>
            </w:r>
          </w:p>
        </w:tc>
        <w:tc>
          <w:tcPr>
            <w:tcW w:w="3353" w:type="dxa"/>
            <w:tcBorders>
              <w:top w:val="dotted" w:color="auto" w:sz="4" w:space="0"/>
              <w:left w:val="dotted" w:color="auto" w:sz="4" w:space="0"/>
              <w:bottom w:val="dotted" w:color="auto" w:sz="4" w:space="0"/>
              <w:right w:val="dotted" w:color="auto" w:sz="4" w:space="0"/>
            </w:tcBorders>
            <w:vAlign w:val="center"/>
          </w:tcPr>
          <w:p w14:paraId="799BBBFE">
            <w:pPr>
              <w:spacing w:line="240" w:lineRule="exact"/>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全社会研发经费支出占地区生产总值比重</w:t>
            </w:r>
          </w:p>
        </w:tc>
        <w:tc>
          <w:tcPr>
            <w:tcW w:w="740" w:type="dxa"/>
            <w:tcBorders>
              <w:top w:val="dotted" w:color="auto" w:sz="4" w:space="0"/>
              <w:left w:val="dotted" w:color="auto" w:sz="4" w:space="0"/>
              <w:bottom w:val="dotted" w:color="auto" w:sz="4" w:space="0"/>
              <w:right w:val="dotted" w:color="auto" w:sz="4" w:space="0"/>
            </w:tcBorders>
            <w:vAlign w:val="center"/>
          </w:tcPr>
          <w:p w14:paraId="6687FFEC">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w:t>
            </w:r>
          </w:p>
        </w:tc>
        <w:tc>
          <w:tcPr>
            <w:tcW w:w="2016" w:type="dxa"/>
            <w:tcBorders>
              <w:top w:val="dotted" w:color="auto" w:sz="4" w:space="0"/>
              <w:left w:val="dotted" w:color="auto" w:sz="4" w:space="0"/>
              <w:bottom w:val="dotted" w:color="auto" w:sz="4" w:space="0"/>
              <w:right w:val="dotted" w:color="auto" w:sz="4" w:space="0"/>
            </w:tcBorders>
            <w:vAlign w:val="center"/>
          </w:tcPr>
          <w:p w14:paraId="0A71FC4B">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2.88以上</w:t>
            </w:r>
          </w:p>
        </w:tc>
        <w:tc>
          <w:tcPr>
            <w:tcW w:w="2873" w:type="dxa"/>
            <w:gridSpan w:val="3"/>
            <w:tcBorders>
              <w:top w:val="dotted" w:color="auto" w:sz="4" w:space="0"/>
              <w:left w:val="dotted" w:color="auto" w:sz="4" w:space="0"/>
              <w:bottom w:val="dotted" w:color="auto" w:sz="4" w:space="0"/>
              <w:right w:val="nil"/>
            </w:tcBorders>
            <w:vAlign w:val="center"/>
          </w:tcPr>
          <w:p w14:paraId="51E890E0">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年度指标</w:t>
            </w:r>
          </w:p>
        </w:tc>
      </w:tr>
      <w:tr w14:paraId="174F4BD4">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687" w:type="dxa"/>
            <w:vMerge w:val="continue"/>
            <w:tcBorders>
              <w:left w:val="nil"/>
              <w:right w:val="dotted" w:color="auto" w:sz="4" w:space="0"/>
            </w:tcBorders>
            <w:vAlign w:val="center"/>
          </w:tcPr>
          <w:p w14:paraId="547753B7">
            <w:pPr>
              <w:spacing w:line="240" w:lineRule="exact"/>
              <w:jc w:val="center"/>
              <w:rPr>
                <w:rFonts w:hint="default" w:ascii="Times New Roman" w:hAnsi="Times New Roman" w:eastAsia="方正仿宋简体" w:cs="Times New Roman"/>
                <w:sz w:val="20"/>
                <w:szCs w:val="20"/>
              </w:rPr>
            </w:pPr>
          </w:p>
        </w:tc>
        <w:tc>
          <w:tcPr>
            <w:tcW w:w="621" w:type="dxa"/>
            <w:tcBorders>
              <w:top w:val="dotted" w:color="auto" w:sz="4" w:space="0"/>
              <w:left w:val="dotted" w:color="auto" w:sz="4" w:space="0"/>
              <w:bottom w:val="dotted" w:color="auto" w:sz="4" w:space="0"/>
              <w:right w:val="dotted" w:color="auto" w:sz="4" w:space="0"/>
            </w:tcBorders>
            <w:vAlign w:val="center"/>
          </w:tcPr>
          <w:p w14:paraId="00D379C3">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15</w:t>
            </w:r>
          </w:p>
        </w:tc>
        <w:tc>
          <w:tcPr>
            <w:tcW w:w="3353" w:type="dxa"/>
            <w:tcBorders>
              <w:top w:val="dotted" w:color="auto" w:sz="4" w:space="0"/>
              <w:left w:val="dotted" w:color="auto" w:sz="4" w:space="0"/>
              <w:bottom w:val="dotted" w:color="auto" w:sz="4" w:space="0"/>
              <w:right w:val="dotted" w:color="auto" w:sz="4" w:space="0"/>
            </w:tcBorders>
            <w:vAlign w:val="center"/>
          </w:tcPr>
          <w:p w14:paraId="4BF2DEFE">
            <w:pPr>
              <w:spacing w:line="240" w:lineRule="exact"/>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技术合同成交额</w:t>
            </w:r>
          </w:p>
        </w:tc>
        <w:tc>
          <w:tcPr>
            <w:tcW w:w="740" w:type="dxa"/>
            <w:tcBorders>
              <w:top w:val="dotted" w:color="auto" w:sz="4" w:space="0"/>
              <w:left w:val="dotted" w:color="auto" w:sz="4" w:space="0"/>
              <w:bottom w:val="dotted" w:color="auto" w:sz="4" w:space="0"/>
              <w:right w:val="dotted" w:color="auto" w:sz="4" w:space="0"/>
            </w:tcBorders>
            <w:vAlign w:val="center"/>
          </w:tcPr>
          <w:p w14:paraId="3F61961C">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亿元</w:t>
            </w:r>
          </w:p>
        </w:tc>
        <w:tc>
          <w:tcPr>
            <w:tcW w:w="2016" w:type="dxa"/>
            <w:tcBorders>
              <w:top w:val="dotted" w:color="auto" w:sz="4" w:space="0"/>
              <w:left w:val="dotted" w:color="auto" w:sz="4" w:space="0"/>
              <w:bottom w:val="dotted" w:color="auto" w:sz="4" w:space="0"/>
              <w:right w:val="dotted" w:color="auto" w:sz="4" w:space="0"/>
            </w:tcBorders>
            <w:vAlign w:val="center"/>
          </w:tcPr>
          <w:p w14:paraId="1DC87B54">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超21</w:t>
            </w:r>
          </w:p>
        </w:tc>
        <w:tc>
          <w:tcPr>
            <w:tcW w:w="819" w:type="dxa"/>
            <w:tcBorders>
              <w:top w:val="dotted" w:color="auto" w:sz="4" w:space="0"/>
              <w:left w:val="dotted" w:color="auto" w:sz="4" w:space="0"/>
              <w:bottom w:val="dotted" w:color="auto" w:sz="4" w:space="0"/>
              <w:right w:val="dotted" w:color="auto" w:sz="4" w:space="0"/>
            </w:tcBorders>
            <w:vAlign w:val="center"/>
          </w:tcPr>
          <w:p w14:paraId="2F30001C">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18.27</w:t>
            </w:r>
          </w:p>
        </w:tc>
        <w:tc>
          <w:tcPr>
            <w:tcW w:w="1134" w:type="dxa"/>
            <w:tcBorders>
              <w:top w:val="dotted" w:color="auto" w:sz="4" w:space="0"/>
              <w:left w:val="dotted" w:color="auto" w:sz="4" w:space="0"/>
              <w:bottom w:val="dotted" w:color="auto" w:sz="4" w:space="0"/>
              <w:right w:val="dotted" w:color="auto" w:sz="4" w:space="0"/>
            </w:tcBorders>
            <w:vAlign w:val="center"/>
          </w:tcPr>
          <w:p w14:paraId="5F810DA8">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w:t>
            </w:r>
          </w:p>
        </w:tc>
        <w:tc>
          <w:tcPr>
            <w:tcW w:w="920" w:type="dxa"/>
            <w:tcBorders>
              <w:top w:val="dotted" w:color="auto" w:sz="4" w:space="0"/>
              <w:left w:val="dotted" w:color="auto" w:sz="4" w:space="0"/>
              <w:bottom w:val="dotted" w:color="auto" w:sz="4" w:space="0"/>
              <w:right w:val="nil"/>
            </w:tcBorders>
            <w:vAlign w:val="center"/>
          </w:tcPr>
          <w:p w14:paraId="74F5DDEA">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是</w:t>
            </w:r>
          </w:p>
        </w:tc>
      </w:tr>
      <w:tr w14:paraId="4C4FCF58">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exact"/>
          <w:jc w:val="center"/>
        </w:trPr>
        <w:tc>
          <w:tcPr>
            <w:tcW w:w="687" w:type="dxa"/>
            <w:vMerge w:val="restart"/>
            <w:tcBorders>
              <w:left w:val="nil"/>
              <w:right w:val="dotted" w:color="auto" w:sz="4" w:space="0"/>
            </w:tcBorders>
            <w:vAlign w:val="center"/>
          </w:tcPr>
          <w:p w14:paraId="581CB432">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创新驱动</w:t>
            </w:r>
          </w:p>
        </w:tc>
        <w:tc>
          <w:tcPr>
            <w:tcW w:w="621" w:type="dxa"/>
            <w:tcBorders>
              <w:top w:val="dotted" w:color="auto" w:sz="4" w:space="0"/>
              <w:left w:val="dotted" w:color="auto" w:sz="4" w:space="0"/>
              <w:bottom w:val="dotted" w:color="auto" w:sz="4" w:space="0"/>
              <w:right w:val="dotted" w:color="auto" w:sz="4" w:space="0"/>
            </w:tcBorders>
            <w:vAlign w:val="center"/>
          </w:tcPr>
          <w:p w14:paraId="6039B422">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16</w:t>
            </w:r>
          </w:p>
        </w:tc>
        <w:tc>
          <w:tcPr>
            <w:tcW w:w="3353" w:type="dxa"/>
            <w:tcBorders>
              <w:top w:val="dotted" w:color="auto" w:sz="4" w:space="0"/>
              <w:left w:val="dotted" w:color="auto" w:sz="4" w:space="0"/>
              <w:bottom w:val="dotted" w:color="auto" w:sz="4" w:space="0"/>
              <w:right w:val="dotted" w:color="auto" w:sz="4" w:space="0"/>
            </w:tcBorders>
            <w:vAlign w:val="center"/>
          </w:tcPr>
          <w:p w14:paraId="20C0719E">
            <w:pPr>
              <w:spacing w:line="240" w:lineRule="exact"/>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高新技术产业产值占规模以上工业产值比重</w:t>
            </w:r>
          </w:p>
        </w:tc>
        <w:tc>
          <w:tcPr>
            <w:tcW w:w="740" w:type="dxa"/>
            <w:tcBorders>
              <w:top w:val="dotted" w:color="auto" w:sz="4" w:space="0"/>
              <w:left w:val="dotted" w:color="auto" w:sz="4" w:space="0"/>
              <w:bottom w:val="dotted" w:color="auto" w:sz="4" w:space="0"/>
              <w:right w:val="dotted" w:color="auto" w:sz="4" w:space="0"/>
            </w:tcBorders>
            <w:vAlign w:val="center"/>
          </w:tcPr>
          <w:p w14:paraId="11D37824">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w:t>
            </w:r>
          </w:p>
        </w:tc>
        <w:tc>
          <w:tcPr>
            <w:tcW w:w="2016" w:type="dxa"/>
            <w:tcBorders>
              <w:top w:val="dotted" w:color="auto" w:sz="4" w:space="0"/>
              <w:left w:val="dotted" w:color="auto" w:sz="4" w:space="0"/>
              <w:bottom w:val="dotted" w:color="auto" w:sz="4" w:space="0"/>
              <w:right w:val="dotted" w:color="auto" w:sz="4" w:space="0"/>
            </w:tcBorders>
            <w:vAlign w:val="center"/>
          </w:tcPr>
          <w:p w14:paraId="78B4CA53">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力争57</w:t>
            </w:r>
          </w:p>
        </w:tc>
        <w:tc>
          <w:tcPr>
            <w:tcW w:w="819" w:type="dxa"/>
            <w:tcBorders>
              <w:top w:val="dotted" w:color="auto" w:sz="4" w:space="0"/>
              <w:left w:val="dotted" w:color="auto" w:sz="4" w:space="0"/>
              <w:bottom w:val="dotted" w:color="auto" w:sz="4" w:space="0"/>
              <w:right w:val="nil"/>
            </w:tcBorders>
            <w:vAlign w:val="center"/>
          </w:tcPr>
          <w:p w14:paraId="4AC2DCC5">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63.4</w:t>
            </w:r>
          </w:p>
        </w:tc>
        <w:tc>
          <w:tcPr>
            <w:tcW w:w="1134" w:type="dxa"/>
            <w:tcBorders>
              <w:top w:val="dotted" w:color="auto" w:sz="4" w:space="0"/>
              <w:left w:val="dotted" w:color="auto" w:sz="4" w:space="0"/>
              <w:bottom w:val="dotted" w:color="auto" w:sz="4" w:space="0"/>
              <w:right w:val="nil"/>
            </w:tcBorders>
            <w:vAlign w:val="center"/>
          </w:tcPr>
          <w:p w14:paraId="309C4CE8">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w:t>
            </w:r>
          </w:p>
        </w:tc>
        <w:tc>
          <w:tcPr>
            <w:tcW w:w="920" w:type="dxa"/>
            <w:tcBorders>
              <w:top w:val="dotted" w:color="auto" w:sz="4" w:space="0"/>
              <w:left w:val="dotted" w:color="auto" w:sz="4" w:space="0"/>
              <w:bottom w:val="dotted" w:color="auto" w:sz="4" w:space="0"/>
              <w:right w:val="nil"/>
            </w:tcBorders>
            <w:vAlign w:val="center"/>
          </w:tcPr>
          <w:p w14:paraId="773F23DD">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是</w:t>
            </w:r>
          </w:p>
        </w:tc>
      </w:tr>
      <w:tr w14:paraId="12F031AE">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exact"/>
          <w:jc w:val="center"/>
        </w:trPr>
        <w:tc>
          <w:tcPr>
            <w:tcW w:w="687" w:type="dxa"/>
            <w:vMerge w:val="continue"/>
            <w:tcBorders>
              <w:left w:val="nil"/>
              <w:bottom w:val="dotted" w:color="auto" w:sz="4" w:space="0"/>
              <w:right w:val="dotted" w:color="auto" w:sz="4" w:space="0"/>
            </w:tcBorders>
            <w:vAlign w:val="center"/>
          </w:tcPr>
          <w:p w14:paraId="2CD238C3">
            <w:pPr>
              <w:spacing w:line="240" w:lineRule="exact"/>
              <w:jc w:val="center"/>
              <w:rPr>
                <w:rFonts w:hint="default" w:ascii="Times New Roman" w:hAnsi="Times New Roman" w:eastAsia="方正仿宋简体" w:cs="Times New Roman"/>
                <w:sz w:val="20"/>
                <w:szCs w:val="20"/>
              </w:rPr>
            </w:pPr>
          </w:p>
        </w:tc>
        <w:tc>
          <w:tcPr>
            <w:tcW w:w="621" w:type="dxa"/>
            <w:tcBorders>
              <w:top w:val="dotted" w:color="auto" w:sz="4" w:space="0"/>
              <w:left w:val="dotted" w:color="auto" w:sz="4" w:space="0"/>
              <w:bottom w:val="dotted" w:color="auto" w:sz="4" w:space="0"/>
              <w:right w:val="dotted" w:color="auto" w:sz="4" w:space="0"/>
            </w:tcBorders>
            <w:vAlign w:val="center"/>
          </w:tcPr>
          <w:p w14:paraId="17D869DC">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17</w:t>
            </w:r>
          </w:p>
        </w:tc>
        <w:tc>
          <w:tcPr>
            <w:tcW w:w="3353" w:type="dxa"/>
            <w:tcBorders>
              <w:top w:val="dotted" w:color="auto" w:sz="4" w:space="0"/>
              <w:left w:val="dotted" w:color="auto" w:sz="4" w:space="0"/>
              <w:bottom w:val="dotted" w:color="auto" w:sz="4" w:space="0"/>
              <w:right w:val="dotted" w:color="auto" w:sz="4" w:space="0"/>
            </w:tcBorders>
            <w:vAlign w:val="center"/>
          </w:tcPr>
          <w:p w14:paraId="6461C84E">
            <w:pPr>
              <w:spacing w:line="240" w:lineRule="exact"/>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有效发明专利拥有量</w:t>
            </w:r>
          </w:p>
        </w:tc>
        <w:tc>
          <w:tcPr>
            <w:tcW w:w="740" w:type="dxa"/>
            <w:tcBorders>
              <w:top w:val="dotted" w:color="auto" w:sz="4" w:space="0"/>
              <w:left w:val="dotted" w:color="auto" w:sz="4" w:space="0"/>
              <w:bottom w:val="dotted" w:color="auto" w:sz="4" w:space="0"/>
              <w:right w:val="dotted" w:color="auto" w:sz="4" w:space="0"/>
            </w:tcBorders>
            <w:vAlign w:val="center"/>
          </w:tcPr>
          <w:p w14:paraId="164E38B2">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件</w:t>
            </w:r>
          </w:p>
        </w:tc>
        <w:tc>
          <w:tcPr>
            <w:tcW w:w="2016" w:type="dxa"/>
            <w:tcBorders>
              <w:top w:val="dotted" w:color="auto" w:sz="4" w:space="0"/>
              <w:left w:val="dotted" w:color="auto" w:sz="4" w:space="0"/>
              <w:bottom w:val="dotted" w:color="auto" w:sz="4" w:space="0"/>
              <w:right w:val="dotted" w:color="auto" w:sz="4" w:space="0"/>
            </w:tcBorders>
            <w:vAlign w:val="center"/>
          </w:tcPr>
          <w:p w14:paraId="51E1CEC4">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达市定目标</w:t>
            </w:r>
          </w:p>
        </w:tc>
        <w:tc>
          <w:tcPr>
            <w:tcW w:w="819" w:type="dxa"/>
            <w:tcBorders>
              <w:top w:val="dotted" w:color="auto" w:sz="4" w:space="0"/>
              <w:left w:val="dotted" w:color="auto" w:sz="4" w:space="0"/>
              <w:bottom w:val="dotted" w:color="auto" w:sz="4" w:space="0"/>
              <w:right w:val="nil"/>
            </w:tcBorders>
            <w:vAlign w:val="center"/>
          </w:tcPr>
          <w:p w14:paraId="5EC627B1">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1477</w:t>
            </w:r>
          </w:p>
        </w:tc>
        <w:tc>
          <w:tcPr>
            <w:tcW w:w="1134" w:type="dxa"/>
            <w:tcBorders>
              <w:top w:val="dotted" w:color="auto" w:sz="4" w:space="0"/>
              <w:left w:val="dotted" w:color="auto" w:sz="4" w:space="0"/>
              <w:bottom w:val="dotted" w:color="auto" w:sz="4" w:space="0"/>
              <w:right w:val="nil"/>
            </w:tcBorders>
            <w:vAlign w:val="center"/>
          </w:tcPr>
          <w:p w14:paraId="72EDA01E">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w:t>
            </w:r>
          </w:p>
        </w:tc>
        <w:tc>
          <w:tcPr>
            <w:tcW w:w="920" w:type="dxa"/>
            <w:tcBorders>
              <w:top w:val="dotted" w:color="auto" w:sz="4" w:space="0"/>
              <w:left w:val="dotted" w:color="auto" w:sz="4" w:space="0"/>
              <w:bottom w:val="dotted" w:color="auto" w:sz="4" w:space="0"/>
              <w:right w:val="nil"/>
            </w:tcBorders>
            <w:vAlign w:val="center"/>
          </w:tcPr>
          <w:p w14:paraId="2124918A">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是</w:t>
            </w:r>
          </w:p>
        </w:tc>
      </w:tr>
      <w:tr w14:paraId="7ECBA436">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687" w:type="dxa"/>
            <w:vMerge w:val="restart"/>
            <w:tcBorders>
              <w:top w:val="dotted" w:color="auto" w:sz="4" w:space="0"/>
              <w:left w:val="nil"/>
              <w:right w:val="dotted" w:color="auto" w:sz="4" w:space="0"/>
            </w:tcBorders>
            <w:vAlign w:val="center"/>
          </w:tcPr>
          <w:p w14:paraId="23AE8BD2">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民生保障</w:t>
            </w:r>
          </w:p>
        </w:tc>
        <w:tc>
          <w:tcPr>
            <w:tcW w:w="621" w:type="dxa"/>
            <w:tcBorders>
              <w:top w:val="dotted" w:color="auto" w:sz="4" w:space="0"/>
              <w:left w:val="dotted" w:color="auto" w:sz="4" w:space="0"/>
              <w:bottom w:val="dotted" w:color="auto" w:sz="4" w:space="0"/>
              <w:right w:val="dotted" w:color="auto" w:sz="4" w:space="0"/>
            </w:tcBorders>
            <w:vAlign w:val="center"/>
          </w:tcPr>
          <w:p w14:paraId="7A36C62F">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18</w:t>
            </w:r>
          </w:p>
        </w:tc>
        <w:tc>
          <w:tcPr>
            <w:tcW w:w="3353" w:type="dxa"/>
            <w:tcBorders>
              <w:top w:val="dotted" w:color="auto" w:sz="4" w:space="0"/>
              <w:left w:val="dotted" w:color="auto" w:sz="4" w:space="0"/>
              <w:bottom w:val="dotted" w:color="auto" w:sz="4" w:space="0"/>
              <w:right w:val="dotted" w:color="auto" w:sz="4" w:space="0"/>
            </w:tcBorders>
            <w:vAlign w:val="center"/>
          </w:tcPr>
          <w:p w14:paraId="225E038B">
            <w:pPr>
              <w:spacing w:line="240" w:lineRule="exact"/>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城乡基本养老保险参保缴费率</w:t>
            </w:r>
          </w:p>
        </w:tc>
        <w:tc>
          <w:tcPr>
            <w:tcW w:w="740" w:type="dxa"/>
            <w:tcBorders>
              <w:top w:val="dotted" w:color="auto" w:sz="4" w:space="0"/>
              <w:left w:val="dotted" w:color="auto" w:sz="4" w:space="0"/>
              <w:bottom w:val="dotted" w:color="auto" w:sz="4" w:space="0"/>
              <w:right w:val="dotted" w:color="auto" w:sz="4" w:space="0"/>
            </w:tcBorders>
            <w:vAlign w:val="center"/>
          </w:tcPr>
          <w:p w14:paraId="0BBAB8C0">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w:t>
            </w:r>
          </w:p>
        </w:tc>
        <w:tc>
          <w:tcPr>
            <w:tcW w:w="2016" w:type="dxa"/>
            <w:tcBorders>
              <w:top w:val="dotted" w:color="auto" w:sz="4" w:space="0"/>
              <w:left w:val="dotted" w:color="auto" w:sz="4" w:space="0"/>
              <w:bottom w:val="dotted" w:color="auto" w:sz="4" w:space="0"/>
              <w:right w:val="dotted" w:color="auto" w:sz="4" w:space="0"/>
            </w:tcBorders>
            <w:vAlign w:val="center"/>
          </w:tcPr>
          <w:p w14:paraId="154E5BA5">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90以上</w:t>
            </w:r>
          </w:p>
        </w:tc>
        <w:tc>
          <w:tcPr>
            <w:tcW w:w="2873" w:type="dxa"/>
            <w:gridSpan w:val="3"/>
            <w:tcBorders>
              <w:top w:val="dotted" w:color="auto" w:sz="4" w:space="0"/>
              <w:left w:val="dotted" w:color="auto" w:sz="4" w:space="0"/>
              <w:bottom w:val="dotted" w:color="auto" w:sz="4" w:space="0"/>
              <w:right w:val="nil"/>
            </w:tcBorders>
            <w:vAlign w:val="center"/>
          </w:tcPr>
          <w:p w14:paraId="7A1E7DC3">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年度指标</w:t>
            </w:r>
          </w:p>
        </w:tc>
      </w:tr>
      <w:tr w14:paraId="2952B710">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687" w:type="dxa"/>
            <w:vMerge w:val="continue"/>
            <w:tcBorders>
              <w:left w:val="nil"/>
              <w:right w:val="dotted" w:color="auto" w:sz="4" w:space="0"/>
            </w:tcBorders>
            <w:vAlign w:val="center"/>
          </w:tcPr>
          <w:p w14:paraId="6567ADEA">
            <w:pPr>
              <w:spacing w:line="240" w:lineRule="exact"/>
              <w:jc w:val="center"/>
              <w:rPr>
                <w:rFonts w:hint="default" w:ascii="Times New Roman" w:hAnsi="Times New Roman" w:eastAsia="方正仿宋简体" w:cs="Times New Roman"/>
                <w:sz w:val="20"/>
                <w:szCs w:val="20"/>
              </w:rPr>
            </w:pPr>
          </w:p>
        </w:tc>
        <w:tc>
          <w:tcPr>
            <w:tcW w:w="621" w:type="dxa"/>
            <w:tcBorders>
              <w:top w:val="dotted" w:color="auto" w:sz="4" w:space="0"/>
              <w:left w:val="dotted" w:color="auto" w:sz="4" w:space="0"/>
              <w:bottom w:val="dotted" w:color="auto" w:sz="4" w:space="0"/>
              <w:right w:val="dotted" w:color="auto" w:sz="4" w:space="0"/>
            </w:tcBorders>
            <w:vAlign w:val="center"/>
          </w:tcPr>
          <w:p w14:paraId="5587E56A">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19</w:t>
            </w:r>
          </w:p>
        </w:tc>
        <w:tc>
          <w:tcPr>
            <w:tcW w:w="3353" w:type="dxa"/>
            <w:tcBorders>
              <w:top w:val="dotted" w:color="auto" w:sz="4" w:space="0"/>
              <w:left w:val="dotted" w:color="auto" w:sz="4" w:space="0"/>
              <w:bottom w:val="dotted" w:color="auto" w:sz="4" w:space="0"/>
              <w:right w:val="dotted" w:color="auto" w:sz="4" w:space="0"/>
            </w:tcBorders>
            <w:vAlign w:val="center"/>
          </w:tcPr>
          <w:p w14:paraId="5978F391">
            <w:pPr>
              <w:spacing w:line="240" w:lineRule="exact"/>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城乡基本医疗保险参保率</w:t>
            </w:r>
          </w:p>
        </w:tc>
        <w:tc>
          <w:tcPr>
            <w:tcW w:w="740" w:type="dxa"/>
            <w:tcBorders>
              <w:top w:val="dotted" w:color="auto" w:sz="4" w:space="0"/>
              <w:left w:val="dotted" w:color="auto" w:sz="4" w:space="0"/>
              <w:bottom w:val="dotted" w:color="auto" w:sz="4" w:space="0"/>
              <w:right w:val="dotted" w:color="auto" w:sz="4" w:space="0"/>
            </w:tcBorders>
            <w:vAlign w:val="center"/>
          </w:tcPr>
          <w:p w14:paraId="1024D646">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w:t>
            </w:r>
          </w:p>
        </w:tc>
        <w:tc>
          <w:tcPr>
            <w:tcW w:w="2016" w:type="dxa"/>
            <w:tcBorders>
              <w:top w:val="dotted" w:color="auto" w:sz="4" w:space="0"/>
              <w:left w:val="dotted" w:color="auto" w:sz="4" w:space="0"/>
              <w:bottom w:val="dotted" w:color="auto" w:sz="4" w:space="0"/>
              <w:right w:val="dotted" w:color="auto" w:sz="4" w:space="0"/>
            </w:tcBorders>
            <w:vAlign w:val="center"/>
          </w:tcPr>
          <w:p w14:paraId="703CF1AD">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99以上</w:t>
            </w:r>
          </w:p>
        </w:tc>
        <w:tc>
          <w:tcPr>
            <w:tcW w:w="2873" w:type="dxa"/>
            <w:gridSpan w:val="3"/>
            <w:tcBorders>
              <w:top w:val="dotted" w:color="auto" w:sz="4" w:space="0"/>
              <w:left w:val="dotted" w:color="auto" w:sz="4" w:space="0"/>
              <w:bottom w:val="dotted" w:color="auto" w:sz="4" w:space="0"/>
              <w:right w:val="nil"/>
            </w:tcBorders>
            <w:vAlign w:val="center"/>
          </w:tcPr>
          <w:p w14:paraId="6D10672A">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年度指标</w:t>
            </w:r>
          </w:p>
        </w:tc>
      </w:tr>
      <w:tr w14:paraId="27F11619">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687" w:type="dxa"/>
            <w:vMerge w:val="continue"/>
            <w:tcBorders>
              <w:left w:val="nil"/>
              <w:right w:val="dotted" w:color="auto" w:sz="4" w:space="0"/>
            </w:tcBorders>
          </w:tcPr>
          <w:p w14:paraId="65459D94">
            <w:pPr>
              <w:spacing w:line="240" w:lineRule="exact"/>
              <w:jc w:val="center"/>
              <w:rPr>
                <w:rFonts w:hint="default" w:ascii="Times New Roman" w:hAnsi="Times New Roman" w:eastAsia="方正仿宋简体" w:cs="Times New Roman"/>
                <w:sz w:val="20"/>
                <w:szCs w:val="20"/>
              </w:rPr>
            </w:pPr>
          </w:p>
        </w:tc>
        <w:tc>
          <w:tcPr>
            <w:tcW w:w="621" w:type="dxa"/>
            <w:tcBorders>
              <w:top w:val="dotted" w:color="auto" w:sz="4" w:space="0"/>
              <w:left w:val="dotted" w:color="auto" w:sz="4" w:space="0"/>
              <w:bottom w:val="dotted" w:color="auto" w:sz="4" w:space="0"/>
              <w:right w:val="dotted" w:color="auto" w:sz="4" w:space="0"/>
            </w:tcBorders>
            <w:vAlign w:val="center"/>
          </w:tcPr>
          <w:p w14:paraId="3ABB1C85">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20</w:t>
            </w:r>
          </w:p>
        </w:tc>
        <w:tc>
          <w:tcPr>
            <w:tcW w:w="3353" w:type="dxa"/>
            <w:tcBorders>
              <w:top w:val="dotted" w:color="auto" w:sz="4" w:space="0"/>
              <w:left w:val="dotted" w:color="auto" w:sz="4" w:space="0"/>
              <w:bottom w:val="dotted" w:color="auto" w:sz="4" w:space="0"/>
              <w:right w:val="dotted" w:color="auto" w:sz="4" w:space="0"/>
            </w:tcBorders>
            <w:vAlign w:val="center"/>
          </w:tcPr>
          <w:p w14:paraId="3741E76B">
            <w:pPr>
              <w:spacing w:line="240" w:lineRule="exact"/>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城镇新增就业人数</w:t>
            </w:r>
          </w:p>
        </w:tc>
        <w:tc>
          <w:tcPr>
            <w:tcW w:w="740" w:type="dxa"/>
            <w:tcBorders>
              <w:top w:val="dotted" w:color="auto" w:sz="4" w:space="0"/>
              <w:left w:val="dotted" w:color="auto" w:sz="4" w:space="0"/>
              <w:bottom w:val="dotted" w:color="auto" w:sz="4" w:space="0"/>
              <w:right w:val="dotted" w:color="auto" w:sz="4" w:space="0"/>
            </w:tcBorders>
            <w:vAlign w:val="center"/>
          </w:tcPr>
          <w:p w14:paraId="7657CA2F">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人</w:t>
            </w:r>
          </w:p>
        </w:tc>
        <w:tc>
          <w:tcPr>
            <w:tcW w:w="2016" w:type="dxa"/>
            <w:tcBorders>
              <w:top w:val="dotted" w:color="auto" w:sz="4" w:space="0"/>
              <w:left w:val="dotted" w:color="auto" w:sz="4" w:space="0"/>
              <w:bottom w:val="dotted" w:color="auto" w:sz="4" w:space="0"/>
              <w:right w:val="dotted" w:color="auto" w:sz="4" w:space="0"/>
            </w:tcBorders>
            <w:vAlign w:val="center"/>
          </w:tcPr>
          <w:p w14:paraId="20F476DF">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达市定目标</w:t>
            </w:r>
          </w:p>
        </w:tc>
        <w:tc>
          <w:tcPr>
            <w:tcW w:w="819" w:type="dxa"/>
            <w:tcBorders>
              <w:top w:val="dotted" w:color="auto" w:sz="4" w:space="0"/>
              <w:left w:val="dotted" w:color="auto" w:sz="4" w:space="0"/>
              <w:bottom w:val="dotted" w:color="auto" w:sz="4" w:space="0"/>
              <w:right w:val="nil"/>
            </w:tcBorders>
            <w:vAlign w:val="center"/>
          </w:tcPr>
          <w:p w14:paraId="5D80FDFC">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3832</w:t>
            </w:r>
          </w:p>
        </w:tc>
        <w:tc>
          <w:tcPr>
            <w:tcW w:w="1134" w:type="dxa"/>
            <w:tcBorders>
              <w:top w:val="dotted" w:color="auto" w:sz="4" w:space="0"/>
              <w:left w:val="dotted" w:color="auto" w:sz="4" w:space="0"/>
              <w:bottom w:val="dotted" w:color="auto" w:sz="4" w:space="0"/>
              <w:right w:val="nil"/>
            </w:tcBorders>
            <w:vAlign w:val="center"/>
          </w:tcPr>
          <w:p w14:paraId="389C967F">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w:t>
            </w:r>
          </w:p>
        </w:tc>
        <w:tc>
          <w:tcPr>
            <w:tcW w:w="920" w:type="dxa"/>
            <w:tcBorders>
              <w:top w:val="dotted" w:color="auto" w:sz="4" w:space="0"/>
              <w:left w:val="dotted" w:color="auto" w:sz="4" w:space="0"/>
              <w:bottom w:val="dotted" w:color="auto" w:sz="4" w:space="0"/>
              <w:right w:val="nil"/>
            </w:tcBorders>
            <w:vAlign w:val="center"/>
          </w:tcPr>
          <w:p w14:paraId="6A4659D4">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是</w:t>
            </w:r>
          </w:p>
        </w:tc>
      </w:tr>
      <w:tr w14:paraId="63CD0360">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687" w:type="dxa"/>
            <w:vMerge w:val="continue"/>
            <w:tcBorders>
              <w:left w:val="nil"/>
              <w:right w:val="dotted" w:color="auto" w:sz="4" w:space="0"/>
            </w:tcBorders>
            <w:vAlign w:val="center"/>
          </w:tcPr>
          <w:p w14:paraId="66E98F20">
            <w:pPr>
              <w:spacing w:line="240" w:lineRule="exact"/>
              <w:jc w:val="center"/>
              <w:rPr>
                <w:rFonts w:hint="default" w:ascii="Times New Roman" w:hAnsi="Times New Roman" w:eastAsia="方正仿宋简体" w:cs="Times New Roman"/>
                <w:sz w:val="20"/>
                <w:szCs w:val="20"/>
              </w:rPr>
            </w:pPr>
          </w:p>
        </w:tc>
        <w:tc>
          <w:tcPr>
            <w:tcW w:w="621" w:type="dxa"/>
            <w:tcBorders>
              <w:top w:val="dotted" w:color="auto" w:sz="4" w:space="0"/>
              <w:left w:val="dotted" w:color="auto" w:sz="4" w:space="0"/>
              <w:bottom w:val="dotted" w:color="auto" w:sz="4" w:space="0"/>
              <w:right w:val="dotted" w:color="auto" w:sz="4" w:space="0"/>
            </w:tcBorders>
            <w:vAlign w:val="center"/>
          </w:tcPr>
          <w:p w14:paraId="2924BADC">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21</w:t>
            </w:r>
          </w:p>
        </w:tc>
        <w:tc>
          <w:tcPr>
            <w:tcW w:w="3353" w:type="dxa"/>
            <w:tcBorders>
              <w:top w:val="dotted" w:color="auto" w:sz="4" w:space="0"/>
              <w:left w:val="dotted" w:color="auto" w:sz="4" w:space="0"/>
              <w:bottom w:val="dotted" w:color="auto" w:sz="4" w:space="0"/>
              <w:right w:val="dotted" w:color="auto" w:sz="4" w:space="0"/>
            </w:tcBorders>
            <w:vAlign w:val="center"/>
          </w:tcPr>
          <w:p w14:paraId="0121438C">
            <w:pPr>
              <w:spacing w:line="240" w:lineRule="exact"/>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接受上门服务的居家老年人数占比</w:t>
            </w:r>
          </w:p>
        </w:tc>
        <w:tc>
          <w:tcPr>
            <w:tcW w:w="740" w:type="dxa"/>
            <w:tcBorders>
              <w:top w:val="dotted" w:color="auto" w:sz="4" w:space="0"/>
              <w:left w:val="dotted" w:color="auto" w:sz="4" w:space="0"/>
              <w:bottom w:val="dotted" w:color="auto" w:sz="4" w:space="0"/>
              <w:right w:val="dotted" w:color="auto" w:sz="4" w:space="0"/>
            </w:tcBorders>
            <w:vAlign w:val="center"/>
          </w:tcPr>
          <w:p w14:paraId="7428F91E">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w:t>
            </w:r>
          </w:p>
        </w:tc>
        <w:tc>
          <w:tcPr>
            <w:tcW w:w="2016" w:type="dxa"/>
            <w:tcBorders>
              <w:top w:val="dotted" w:color="auto" w:sz="4" w:space="0"/>
              <w:left w:val="dotted" w:color="auto" w:sz="4" w:space="0"/>
              <w:bottom w:val="dotted" w:color="auto" w:sz="4" w:space="0"/>
              <w:right w:val="dotted" w:color="auto" w:sz="4" w:space="0"/>
            </w:tcBorders>
            <w:vAlign w:val="center"/>
          </w:tcPr>
          <w:p w14:paraId="62E9FAFE">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28</w:t>
            </w:r>
          </w:p>
        </w:tc>
        <w:tc>
          <w:tcPr>
            <w:tcW w:w="819" w:type="dxa"/>
            <w:tcBorders>
              <w:top w:val="dotted" w:color="auto" w:sz="4" w:space="0"/>
              <w:left w:val="dotted" w:color="auto" w:sz="4" w:space="0"/>
              <w:bottom w:val="dotted" w:color="auto" w:sz="4" w:space="0"/>
              <w:right w:val="dotted" w:color="auto" w:sz="4" w:space="0"/>
            </w:tcBorders>
            <w:vAlign w:val="center"/>
          </w:tcPr>
          <w:p w14:paraId="454EDAD5">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30.17</w:t>
            </w:r>
          </w:p>
        </w:tc>
        <w:tc>
          <w:tcPr>
            <w:tcW w:w="1134" w:type="dxa"/>
            <w:tcBorders>
              <w:top w:val="dotted" w:color="auto" w:sz="4" w:space="0"/>
              <w:left w:val="dotted" w:color="auto" w:sz="4" w:space="0"/>
              <w:bottom w:val="dotted" w:color="auto" w:sz="4" w:space="0"/>
              <w:right w:val="dotted" w:color="auto" w:sz="4" w:space="0"/>
            </w:tcBorders>
            <w:vAlign w:val="center"/>
          </w:tcPr>
          <w:p w14:paraId="7D2E012E">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w:t>
            </w:r>
          </w:p>
        </w:tc>
        <w:tc>
          <w:tcPr>
            <w:tcW w:w="920" w:type="dxa"/>
            <w:tcBorders>
              <w:top w:val="dotted" w:color="auto" w:sz="4" w:space="0"/>
              <w:left w:val="dotted" w:color="auto" w:sz="4" w:space="0"/>
              <w:bottom w:val="dotted" w:color="auto" w:sz="4" w:space="0"/>
              <w:right w:val="nil"/>
            </w:tcBorders>
            <w:vAlign w:val="center"/>
          </w:tcPr>
          <w:p w14:paraId="68F03FD0">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是</w:t>
            </w:r>
          </w:p>
        </w:tc>
      </w:tr>
      <w:tr w14:paraId="38ED821E">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687" w:type="dxa"/>
            <w:vMerge w:val="restart"/>
            <w:tcBorders>
              <w:left w:val="nil"/>
              <w:right w:val="dotted" w:color="auto" w:sz="4" w:space="0"/>
            </w:tcBorders>
            <w:vAlign w:val="center"/>
          </w:tcPr>
          <w:p w14:paraId="4B075A88">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民生保障</w:t>
            </w:r>
          </w:p>
        </w:tc>
        <w:tc>
          <w:tcPr>
            <w:tcW w:w="621" w:type="dxa"/>
            <w:tcBorders>
              <w:top w:val="dotted" w:color="auto" w:sz="4" w:space="0"/>
              <w:left w:val="dotted" w:color="auto" w:sz="4" w:space="0"/>
              <w:bottom w:val="dotted" w:color="auto" w:sz="4" w:space="0"/>
              <w:right w:val="dotted" w:color="auto" w:sz="4" w:space="0"/>
            </w:tcBorders>
            <w:vAlign w:val="center"/>
          </w:tcPr>
          <w:p w14:paraId="7428F961">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22</w:t>
            </w:r>
          </w:p>
        </w:tc>
        <w:tc>
          <w:tcPr>
            <w:tcW w:w="3353" w:type="dxa"/>
            <w:tcBorders>
              <w:top w:val="dotted" w:color="auto" w:sz="4" w:space="0"/>
              <w:left w:val="dotted" w:color="auto" w:sz="4" w:space="0"/>
              <w:bottom w:val="dotted" w:color="auto" w:sz="4" w:space="0"/>
              <w:right w:val="dotted" w:color="auto" w:sz="4" w:space="0"/>
            </w:tcBorders>
            <w:vAlign w:val="center"/>
          </w:tcPr>
          <w:p w14:paraId="62F4069B">
            <w:pPr>
              <w:spacing w:line="240" w:lineRule="exact"/>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每千人口拥有0-3岁婴幼儿托位数</w:t>
            </w:r>
          </w:p>
        </w:tc>
        <w:tc>
          <w:tcPr>
            <w:tcW w:w="740" w:type="dxa"/>
            <w:tcBorders>
              <w:top w:val="dotted" w:color="auto" w:sz="4" w:space="0"/>
              <w:left w:val="dotted" w:color="auto" w:sz="4" w:space="0"/>
              <w:bottom w:val="dotted" w:color="auto" w:sz="4" w:space="0"/>
              <w:right w:val="dotted" w:color="auto" w:sz="4" w:space="0"/>
            </w:tcBorders>
            <w:vAlign w:val="center"/>
          </w:tcPr>
          <w:p w14:paraId="46AE58A0">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个</w:t>
            </w:r>
          </w:p>
        </w:tc>
        <w:tc>
          <w:tcPr>
            <w:tcW w:w="2016" w:type="dxa"/>
            <w:tcBorders>
              <w:top w:val="dotted" w:color="auto" w:sz="4" w:space="0"/>
              <w:left w:val="dotted" w:color="auto" w:sz="4" w:space="0"/>
              <w:bottom w:val="dotted" w:color="auto" w:sz="4" w:space="0"/>
              <w:right w:val="dotted" w:color="auto" w:sz="4" w:space="0"/>
            </w:tcBorders>
            <w:vAlign w:val="center"/>
          </w:tcPr>
          <w:p w14:paraId="298AD6AE">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4.5以上</w:t>
            </w:r>
          </w:p>
        </w:tc>
        <w:tc>
          <w:tcPr>
            <w:tcW w:w="819" w:type="dxa"/>
            <w:tcBorders>
              <w:top w:val="dotted" w:color="auto" w:sz="4" w:space="0"/>
              <w:left w:val="dotted" w:color="auto" w:sz="4" w:space="0"/>
              <w:bottom w:val="dotted" w:color="auto" w:sz="4" w:space="0"/>
              <w:right w:val="dotted" w:color="auto" w:sz="4" w:space="0"/>
            </w:tcBorders>
            <w:vAlign w:val="center"/>
          </w:tcPr>
          <w:p w14:paraId="4E5AA1E8">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4.8</w:t>
            </w:r>
          </w:p>
        </w:tc>
        <w:tc>
          <w:tcPr>
            <w:tcW w:w="1134" w:type="dxa"/>
            <w:tcBorders>
              <w:top w:val="dotted" w:color="auto" w:sz="4" w:space="0"/>
              <w:left w:val="dotted" w:color="auto" w:sz="4" w:space="0"/>
              <w:bottom w:val="dotted" w:color="auto" w:sz="4" w:space="0"/>
              <w:right w:val="dotted" w:color="auto" w:sz="4" w:space="0"/>
            </w:tcBorders>
            <w:vAlign w:val="center"/>
          </w:tcPr>
          <w:p w14:paraId="0602332D">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w:t>
            </w:r>
          </w:p>
        </w:tc>
        <w:tc>
          <w:tcPr>
            <w:tcW w:w="920" w:type="dxa"/>
            <w:tcBorders>
              <w:top w:val="dotted" w:color="auto" w:sz="4" w:space="0"/>
              <w:left w:val="dotted" w:color="auto" w:sz="4" w:space="0"/>
              <w:bottom w:val="dotted" w:color="auto" w:sz="4" w:space="0"/>
              <w:right w:val="nil"/>
            </w:tcBorders>
            <w:vAlign w:val="center"/>
          </w:tcPr>
          <w:p w14:paraId="1D71FC6C">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是</w:t>
            </w:r>
          </w:p>
        </w:tc>
      </w:tr>
      <w:tr w14:paraId="0B7B52AE">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687" w:type="dxa"/>
            <w:vMerge w:val="continue"/>
            <w:tcBorders>
              <w:left w:val="nil"/>
              <w:right w:val="dotted" w:color="auto" w:sz="4" w:space="0"/>
            </w:tcBorders>
            <w:vAlign w:val="center"/>
          </w:tcPr>
          <w:p w14:paraId="0AA58C4C">
            <w:pPr>
              <w:spacing w:line="240" w:lineRule="exact"/>
              <w:jc w:val="center"/>
              <w:rPr>
                <w:rFonts w:hint="default" w:ascii="Times New Roman" w:hAnsi="Times New Roman" w:eastAsia="方正仿宋简体" w:cs="Times New Roman"/>
                <w:sz w:val="20"/>
                <w:szCs w:val="20"/>
              </w:rPr>
            </w:pPr>
          </w:p>
        </w:tc>
        <w:tc>
          <w:tcPr>
            <w:tcW w:w="621" w:type="dxa"/>
            <w:tcBorders>
              <w:top w:val="dotted" w:color="auto" w:sz="4" w:space="0"/>
              <w:left w:val="dotted" w:color="auto" w:sz="4" w:space="0"/>
              <w:bottom w:val="dotted" w:color="auto" w:sz="4" w:space="0"/>
              <w:right w:val="dotted" w:color="auto" w:sz="4" w:space="0"/>
            </w:tcBorders>
            <w:vAlign w:val="center"/>
          </w:tcPr>
          <w:p w14:paraId="0C03F975">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23</w:t>
            </w:r>
          </w:p>
        </w:tc>
        <w:tc>
          <w:tcPr>
            <w:tcW w:w="3353" w:type="dxa"/>
            <w:tcBorders>
              <w:top w:val="dotted" w:color="auto" w:sz="4" w:space="0"/>
              <w:left w:val="dotted" w:color="auto" w:sz="4" w:space="0"/>
              <w:bottom w:val="dotted" w:color="auto" w:sz="4" w:space="0"/>
              <w:right w:val="dotted" w:color="auto" w:sz="4" w:space="0"/>
            </w:tcBorders>
            <w:vAlign w:val="center"/>
          </w:tcPr>
          <w:p w14:paraId="0F85B9AD">
            <w:pPr>
              <w:spacing w:line="240" w:lineRule="exact"/>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每千人执业（助理）医师数</w:t>
            </w:r>
          </w:p>
        </w:tc>
        <w:tc>
          <w:tcPr>
            <w:tcW w:w="740" w:type="dxa"/>
            <w:tcBorders>
              <w:top w:val="dotted" w:color="auto" w:sz="4" w:space="0"/>
              <w:left w:val="dotted" w:color="auto" w:sz="4" w:space="0"/>
              <w:bottom w:val="dotted" w:color="auto" w:sz="4" w:space="0"/>
              <w:right w:val="dotted" w:color="auto" w:sz="4" w:space="0"/>
            </w:tcBorders>
            <w:vAlign w:val="center"/>
          </w:tcPr>
          <w:p w14:paraId="1830CFDB">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人</w:t>
            </w:r>
          </w:p>
        </w:tc>
        <w:tc>
          <w:tcPr>
            <w:tcW w:w="2016" w:type="dxa"/>
            <w:tcBorders>
              <w:top w:val="dotted" w:color="auto" w:sz="4" w:space="0"/>
              <w:left w:val="dotted" w:color="auto" w:sz="4" w:space="0"/>
              <w:bottom w:val="dotted" w:color="auto" w:sz="4" w:space="0"/>
              <w:right w:val="dotted" w:color="auto" w:sz="4" w:space="0"/>
            </w:tcBorders>
            <w:vAlign w:val="center"/>
          </w:tcPr>
          <w:p w14:paraId="23A2CC44">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2.56</w:t>
            </w:r>
          </w:p>
        </w:tc>
        <w:tc>
          <w:tcPr>
            <w:tcW w:w="819" w:type="dxa"/>
            <w:tcBorders>
              <w:top w:val="dotted" w:color="auto" w:sz="4" w:space="0"/>
              <w:left w:val="dotted" w:color="auto" w:sz="4" w:space="0"/>
              <w:bottom w:val="dotted" w:color="auto" w:sz="4" w:space="0"/>
              <w:right w:val="dotted" w:color="auto" w:sz="4" w:space="0"/>
            </w:tcBorders>
            <w:vAlign w:val="center"/>
          </w:tcPr>
          <w:p w14:paraId="37832006">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2.56</w:t>
            </w:r>
          </w:p>
        </w:tc>
        <w:tc>
          <w:tcPr>
            <w:tcW w:w="1134" w:type="dxa"/>
            <w:tcBorders>
              <w:top w:val="dotted" w:color="auto" w:sz="4" w:space="0"/>
              <w:left w:val="dotted" w:color="auto" w:sz="4" w:space="0"/>
              <w:bottom w:val="dotted" w:color="auto" w:sz="4" w:space="0"/>
              <w:right w:val="dotted" w:color="auto" w:sz="4" w:space="0"/>
            </w:tcBorders>
            <w:vAlign w:val="center"/>
          </w:tcPr>
          <w:p w14:paraId="3C705F6B">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w:t>
            </w:r>
          </w:p>
        </w:tc>
        <w:tc>
          <w:tcPr>
            <w:tcW w:w="920" w:type="dxa"/>
            <w:tcBorders>
              <w:top w:val="dotted" w:color="auto" w:sz="4" w:space="0"/>
              <w:left w:val="dotted" w:color="auto" w:sz="4" w:space="0"/>
              <w:bottom w:val="dotted" w:color="auto" w:sz="4" w:space="0"/>
              <w:right w:val="nil"/>
            </w:tcBorders>
            <w:vAlign w:val="center"/>
          </w:tcPr>
          <w:p w14:paraId="3E097286">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是</w:t>
            </w:r>
          </w:p>
        </w:tc>
      </w:tr>
      <w:tr w14:paraId="6679283D">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687" w:type="dxa"/>
            <w:vMerge w:val="continue"/>
            <w:tcBorders>
              <w:left w:val="nil"/>
              <w:right w:val="dotted" w:color="auto" w:sz="4" w:space="0"/>
            </w:tcBorders>
          </w:tcPr>
          <w:p w14:paraId="151F8214">
            <w:pPr>
              <w:spacing w:line="240" w:lineRule="exact"/>
              <w:jc w:val="center"/>
              <w:rPr>
                <w:rFonts w:hint="default" w:ascii="Times New Roman" w:hAnsi="Times New Roman" w:eastAsia="方正仿宋简体" w:cs="Times New Roman"/>
                <w:sz w:val="20"/>
                <w:szCs w:val="20"/>
              </w:rPr>
            </w:pPr>
          </w:p>
        </w:tc>
        <w:tc>
          <w:tcPr>
            <w:tcW w:w="621" w:type="dxa"/>
            <w:tcBorders>
              <w:top w:val="dotted" w:color="auto" w:sz="4" w:space="0"/>
              <w:left w:val="dotted" w:color="auto" w:sz="4" w:space="0"/>
              <w:bottom w:val="dotted" w:color="auto" w:sz="4" w:space="0"/>
              <w:right w:val="dotted" w:color="auto" w:sz="4" w:space="0"/>
            </w:tcBorders>
            <w:vAlign w:val="center"/>
          </w:tcPr>
          <w:p w14:paraId="74CDFAD3">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24</w:t>
            </w:r>
          </w:p>
        </w:tc>
        <w:tc>
          <w:tcPr>
            <w:tcW w:w="3353" w:type="dxa"/>
            <w:tcBorders>
              <w:top w:val="dotted" w:color="auto" w:sz="4" w:space="0"/>
              <w:left w:val="dotted" w:color="auto" w:sz="4" w:space="0"/>
              <w:bottom w:val="dotted" w:color="auto" w:sz="4" w:space="0"/>
              <w:right w:val="dotted" w:color="auto" w:sz="4" w:space="0"/>
            </w:tcBorders>
            <w:vAlign w:val="center"/>
          </w:tcPr>
          <w:p w14:paraId="1D1C6E62">
            <w:pPr>
              <w:spacing w:line="240" w:lineRule="exact"/>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每千人口医疗卫生机构床位数</w:t>
            </w:r>
          </w:p>
        </w:tc>
        <w:tc>
          <w:tcPr>
            <w:tcW w:w="740" w:type="dxa"/>
            <w:tcBorders>
              <w:top w:val="dotted" w:color="auto" w:sz="4" w:space="0"/>
              <w:left w:val="dotted" w:color="auto" w:sz="4" w:space="0"/>
              <w:bottom w:val="dotted" w:color="auto" w:sz="4" w:space="0"/>
              <w:right w:val="dotted" w:color="auto" w:sz="4" w:space="0"/>
            </w:tcBorders>
            <w:vAlign w:val="center"/>
          </w:tcPr>
          <w:p w14:paraId="66C377A5">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张</w:t>
            </w:r>
          </w:p>
        </w:tc>
        <w:tc>
          <w:tcPr>
            <w:tcW w:w="2016" w:type="dxa"/>
            <w:tcBorders>
              <w:top w:val="dotted" w:color="auto" w:sz="4" w:space="0"/>
              <w:left w:val="dotted" w:color="auto" w:sz="4" w:space="0"/>
              <w:bottom w:val="dotted" w:color="auto" w:sz="4" w:space="0"/>
              <w:right w:val="dotted" w:color="auto" w:sz="4" w:space="0"/>
            </w:tcBorders>
            <w:vAlign w:val="center"/>
          </w:tcPr>
          <w:p w14:paraId="73D1F12B">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3.8</w:t>
            </w:r>
          </w:p>
        </w:tc>
        <w:tc>
          <w:tcPr>
            <w:tcW w:w="819" w:type="dxa"/>
            <w:tcBorders>
              <w:top w:val="dotted" w:color="auto" w:sz="4" w:space="0"/>
              <w:left w:val="dotted" w:color="auto" w:sz="4" w:space="0"/>
              <w:bottom w:val="dotted" w:color="auto" w:sz="4" w:space="0"/>
              <w:right w:val="dotted" w:color="auto" w:sz="4" w:space="0"/>
            </w:tcBorders>
            <w:vAlign w:val="center"/>
          </w:tcPr>
          <w:p w14:paraId="581E04F7">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3.8</w:t>
            </w:r>
          </w:p>
        </w:tc>
        <w:tc>
          <w:tcPr>
            <w:tcW w:w="1134" w:type="dxa"/>
            <w:tcBorders>
              <w:top w:val="dotted" w:color="auto" w:sz="4" w:space="0"/>
              <w:left w:val="dotted" w:color="auto" w:sz="4" w:space="0"/>
              <w:bottom w:val="dotted" w:color="auto" w:sz="4" w:space="0"/>
              <w:right w:val="dotted" w:color="auto" w:sz="4" w:space="0"/>
            </w:tcBorders>
            <w:vAlign w:val="center"/>
          </w:tcPr>
          <w:p w14:paraId="12B16BCC">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w:t>
            </w:r>
          </w:p>
        </w:tc>
        <w:tc>
          <w:tcPr>
            <w:tcW w:w="920" w:type="dxa"/>
            <w:tcBorders>
              <w:top w:val="dotted" w:color="auto" w:sz="4" w:space="0"/>
              <w:left w:val="dotted" w:color="auto" w:sz="4" w:space="0"/>
              <w:bottom w:val="dotted" w:color="auto" w:sz="4" w:space="0"/>
              <w:right w:val="nil"/>
            </w:tcBorders>
            <w:vAlign w:val="center"/>
          </w:tcPr>
          <w:p w14:paraId="3B813273">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是</w:t>
            </w:r>
          </w:p>
        </w:tc>
      </w:tr>
      <w:tr w14:paraId="4E69675C">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exact"/>
          <w:jc w:val="center"/>
        </w:trPr>
        <w:tc>
          <w:tcPr>
            <w:tcW w:w="687" w:type="dxa"/>
            <w:vMerge w:val="continue"/>
            <w:tcBorders>
              <w:left w:val="nil"/>
              <w:right w:val="dotted" w:color="auto" w:sz="4" w:space="0"/>
            </w:tcBorders>
            <w:vAlign w:val="center"/>
          </w:tcPr>
          <w:p w14:paraId="51098A6B">
            <w:pPr>
              <w:spacing w:line="240" w:lineRule="exact"/>
              <w:jc w:val="center"/>
              <w:rPr>
                <w:rFonts w:hint="default" w:ascii="Times New Roman" w:hAnsi="Times New Roman" w:eastAsia="方正仿宋简体" w:cs="Times New Roman"/>
                <w:sz w:val="20"/>
                <w:szCs w:val="20"/>
              </w:rPr>
            </w:pPr>
          </w:p>
        </w:tc>
        <w:tc>
          <w:tcPr>
            <w:tcW w:w="621" w:type="dxa"/>
            <w:tcBorders>
              <w:top w:val="dotted" w:color="auto" w:sz="4" w:space="0"/>
              <w:left w:val="dotted" w:color="auto" w:sz="4" w:space="0"/>
              <w:bottom w:val="dotted" w:color="auto" w:sz="4" w:space="0"/>
              <w:right w:val="dotted" w:color="auto" w:sz="4" w:space="0"/>
            </w:tcBorders>
            <w:vAlign w:val="center"/>
          </w:tcPr>
          <w:p w14:paraId="7610180A">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25</w:t>
            </w:r>
          </w:p>
        </w:tc>
        <w:tc>
          <w:tcPr>
            <w:tcW w:w="3353" w:type="dxa"/>
            <w:tcBorders>
              <w:top w:val="dotted" w:color="auto" w:sz="4" w:space="0"/>
              <w:left w:val="dotted" w:color="auto" w:sz="4" w:space="0"/>
              <w:bottom w:val="dotted" w:color="auto" w:sz="4" w:space="0"/>
              <w:right w:val="dotted" w:color="auto" w:sz="4" w:space="0"/>
            </w:tcBorders>
            <w:vAlign w:val="center"/>
          </w:tcPr>
          <w:p w14:paraId="62772A6C">
            <w:pPr>
              <w:spacing w:line="240" w:lineRule="exact"/>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文化产业增加值占地区生产总值比重</w:t>
            </w:r>
          </w:p>
        </w:tc>
        <w:tc>
          <w:tcPr>
            <w:tcW w:w="740" w:type="dxa"/>
            <w:tcBorders>
              <w:top w:val="dotted" w:color="auto" w:sz="4" w:space="0"/>
              <w:left w:val="dotted" w:color="auto" w:sz="4" w:space="0"/>
              <w:bottom w:val="dotted" w:color="auto" w:sz="4" w:space="0"/>
              <w:right w:val="dotted" w:color="auto" w:sz="4" w:space="0"/>
            </w:tcBorders>
            <w:vAlign w:val="center"/>
          </w:tcPr>
          <w:p w14:paraId="10A35591">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w:t>
            </w:r>
          </w:p>
        </w:tc>
        <w:tc>
          <w:tcPr>
            <w:tcW w:w="2016" w:type="dxa"/>
            <w:tcBorders>
              <w:top w:val="dotted" w:color="auto" w:sz="4" w:space="0"/>
              <w:left w:val="dotted" w:color="auto" w:sz="4" w:space="0"/>
              <w:bottom w:val="dotted" w:color="auto" w:sz="4" w:space="0"/>
              <w:right w:val="dotted" w:color="auto" w:sz="4" w:space="0"/>
            </w:tcBorders>
            <w:vAlign w:val="center"/>
          </w:tcPr>
          <w:p w14:paraId="65165777">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提高0.2个百分点</w:t>
            </w:r>
          </w:p>
        </w:tc>
        <w:tc>
          <w:tcPr>
            <w:tcW w:w="2873" w:type="dxa"/>
            <w:gridSpan w:val="3"/>
            <w:tcBorders>
              <w:top w:val="dotted" w:color="auto" w:sz="4" w:space="0"/>
              <w:left w:val="dotted" w:color="auto" w:sz="4" w:space="0"/>
              <w:bottom w:val="dotted" w:color="auto" w:sz="4" w:space="0"/>
              <w:right w:val="nil"/>
            </w:tcBorders>
            <w:vAlign w:val="center"/>
          </w:tcPr>
          <w:p w14:paraId="25266E7D">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年度指标</w:t>
            </w:r>
          </w:p>
        </w:tc>
      </w:tr>
      <w:tr w14:paraId="35D1BB35">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687" w:type="dxa"/>
            <w:vMerge w:val="continue"/>
            <w:tcBorders>
              <w:left w:val="nil"/>
              <w:bottom w:val="dotted" w:color="auto" w:sz="4" w:space="0"/>
              <w:right w:val="dotted" w:color="auto" w:sz="4" w:space="0"/>
            </w:tcBorders>
            <w:vAlign w:val="center"/>
          </w:tcPr>
          <w:p w14:paraId="3CAF05DF">
            <w:pPr>
              <w:spacing w:line="240" w:lineRule="exact"/>
              <w:jc w:val="center"/>
              <w:rPr>
                <w:rFonts w:hint="default" w:ascii="Times New Roman" w:hAnsi="Times New Roman" w:eastAsia="方正仿宋简体" w:cs="Times New Roman"/>
                <w:sz w:val="20"/>
                <w:szCs w:val="20"/>
              </w:rPr>
            </w:pPr>
          </w:p>
        </w:tc>
        <w:tc>
          <w:tcPr>
            <w:tcW w:w="621" w:type="dxa"/>
            <w:tcBorders>
              <w:top w:val="dotted" w:color="auto" w:sz="4" w:space="0"/>
              <w:left w:val="dotted" w:color="auto" w:sz="4" w:space="0"/>
              <w:bottom w:val="dotted" w:color="auto" w:sz="4" w:space="0"/>
              <w:right w:val="dotted" w:color="auto" w:sz="4" w:space="0"/>
            </w:tcBorders>
            <w:vAlign w:val="center"/>
          </w:tcPr>
          <w:p w14:paraId="21810080">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26</w:t>
            </w:r>
          </w:p>
        </w:tc>
        <w:tc>
          <w:tcPr>
            <w:tcW w:w="3353" w:type="dxa"/>
            <w:tcBorders>
              <w:top w:val="dotted" w:color="auto" w:sz="4" w:space="0"/>
              <w:left w:val="dotted" w:color="auto" w:sz="4" w:space="0"/>
              <w:bottom w:val="dotted" w:color="auto" w:sz="4" w:space="0"/>
              <w:right w:val="dotted" w:color="auto" w:sz="4" w:space="0"/>
            </w:tcBorders>
            <w:vAlign w:val="center"/>
          </w:tcPr>
          <w:p w14:paraId="6CFCE2B9">
            <w:pPr>
              <w:spacing w:line="240" w:lineRule="exact"/>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全体居民人均可支配收入增速</w:t>
            </w:r>
          </w:p>
        </w:tc>
        <w:tc>
          <w:tcPr>
            <w:tcW w:w="740" w:type="dxa"/>
            <w:tcBorders>
              <w:top w:val="dotted" w:color="auto" w:sz="4" w:space="0"/>
              <w:left w:val="dotted" w:color="auto" w:sz="4" w:space="0"/>
              <w:bottom w:val="dotted" w:color="auto" w:sz="4" w:space="0"/>
              <w:right w:val="dotted" w:color="auto" w:sz="4" w:space="0"/>
            </w:tcBorders>
            <w:vAlign w:val="center"/>
          </w:tcPr>
          <w:p w14:paraId="3C92C433">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w:t>
            </w:r>
          </w:p>
        </w:tc>
        <w:tc>
          <w:tcPr>
            <w:tcW w:w="2016" w:type="dxa"/>
            <w:tcBorders>
              <w:top w:val="dotted" w:color="auto" w:sz="4" w:space="0"/>
              <w:left w:val="dotted" w:color="auto" w:sz="4" w:space="0"/>
              <w:bottom w:val="dotted" w:color="auto" w:sz="4" w:space="0"/>
              <w:right w:val="dotted" w:color="auto" w:sz="4" w:space="0"/>
            </w:tcBorders>
            <w:vAlign w:val="center"/>
          </w:tcPr>
          <w:p w14:paraId="657DAF11">
            <w:pPr>
              <w:spacing w:line="240" w:lineRule="exact"/>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与经济增长基本同步</w:t>
            </w:r>
          </w:p>
        </w:tc>
        <w:tc>
          <w:tcPr>
            <w:tcW w:w="819" w:type="dxa"/>
            <w:tcBorders>
              <w:top w:val="dotted" w:color="auto" w:sz="4" w:space="0"/>
              <w:left w:val="dotted" w:color="auto" w:sz="4" w:space="0"/>
              <w:bottom w:val="dotted" w:color="auto" w:sz="4" w:space="0"/>
              <w:right w:val="dotted" w:color="auto" w:sz="4" w:space="0"/>
            </w:tcBorders>
            <w:vAlign w:val="center"/>
          </w:tcPr>
          <w:p w14:paraId="21B21783">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30421</w:t>
            </w:r>
          </w:p>
        </w:tc>
        <w:tc>
          <w:tcPr>
            <w:tcW w:w="1134" w:type="dxa"/>
            <w:tcBorders>
              <w:top w:val="dotted" w:color="auto" w:sz="4" w:space="0"/>
              <w:left w:val="dotted" w:color="auto" w:sz="4" w:space="0"/>
              <w:bottom w:val="dotted" w:color="auto" w:sz="4" w:space="0"/>
              <w:right w:val="dotted" w:color="auto" w:sz="4" w:space="0"/>
            </w:tcBorders>
            <w:vAlign w:val="center"/>
          </w:tcPr>
          <w:p w14:paraId="483CCB7D">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4.3</w:t>
            </w:r>
          </w:p>
        </w:tc>
        <w:tc>
          <w:tcPr>
            <w:tcW w:w="920" w:type="dxa"/>
            <w:tcBorders>
              <w:top w:val="dotted" w:color="auto" w:sz="4" w:space="0"/>
              <w:left w:val="dotted" w:color="auto" w:sz="4" w:space="0"/>
              <w:bottom w:val="dotted" w:color="auto" w:sz="4" w:space="0"/>
              <w:right w:val="nil"/>
            </w:tcBorders>
            <w:vAlign w:val="center"/>
          </w:tcPr>
          <w:p w14:paraId="5F575E83">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是</w:t>
            </w:r>
          </w:p>
        </w:tc>
      </w:tr>
      <w:tr w14:paraId="1CE83AEE">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687" w:type="dxa"/>
            <w:vMerge w:val="restart"/>
            <w:tcBorders>
              <w:top w:val="dotted" w:color="auto" w:sz="4" w:space="0"/>
              <w:left w:val="nil"/>
              <w:right w:val="dotted" w:color="auto" w:sz="4" w:space="0"/>
            </w:tcBorders>
            <w:vAlign w:val="center"/>
          </w:tcPr>
          <w:p w14:paraId="4A079E25">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生态环境</w:t>
            </w:r>
          </w:p>
        </w:tc>
        <w:tc>
          <w:tcPr>
            <w:tcW w:w="621" w:type="dxa"/>
            <w:tcBorders>
              <w:top w:val="dotted" w:color="auto" w:sz="4" w:space="0"/>
              <w:left w:val="dotted" w:color="auto" w:sz="4" w:space="0"/>
              <w:bottom w:val="dotted" w:color="auto" w:sz="4" w:space="0"/>
              <w:right w:val="dotted" w:color="auto" w:sz="4" w:space="0"/>
            </w:tcBorders>
            <w:vAlign w:val="center"/>
          </w:tcPr>
          <w:p w14:paraId="214ACCA2">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27</w:t>
            </w:r>
          </w:p>
        </w:tc>
        <w:tc>
          <w:tcPr>
            <w:tcW w:w="3353" w:type="dxa"/>
            <w:tcBorders>
              <w:top w:val="dotted" w:color="auto" w:sz="4" w:space="0"/>
              <w:left w:val="dotted" w:color="auto" w:sz="4" w:space="0"/>
              <w:bottom w:val="dotted" w:color="auto" w:sz="4" w:space="0"/>
              <w:right w:val="dotted" w:color="auto" w:sz="4" w:space="0"/>
            </w:tcBorders>
            <w:vAlign w:val="center"/>
          </w:tcPr>
          <w:p w14:paraId="4D991880">
            <w:pPr>
              <w:spacing w:line="240" w:lineRule="exact"/>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单位工业增加值能耗下降</w:t>
            </w:r>
          </w:p>
        </w:tc>
        <w:tc>
          <w:tcPr>
            <w:tcW w:w="740" w:type="dxa"/>
            <w:tcBorders>
              <w:top w:val="dotted" w:color="auto" w:sz="4" w:space="0"/>
              <w:left w:val="dotted" w:color="auto" w:sz="4" w:space="0"/>
              <w:bottom w:val="dotted" w:color="auto" w:sz="4" w:space="0"/>
              <w:right w:val="dotted" w:color="auto" w:sz="4" w:space="0"/>
            </w:tcBorders>
            <w:vAlign w:val="center"/>
          </w:tcPr>
          <w:p w14:paraId="054DC271">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w:t>
            </w:r>
          </w:p>
        </w:tc>
        <w:tc>
          <w:tcPr>
            <w:tcW w:w="2016" w:type="dxa"/>
            <w:tcBorders>
              <w:top w:val="dotted" w:color="auto" w:sz="4" w:space="0"/>
              <w:left w:val="dotted" w:color="auto" w:sz="4" w:space="0"/>
              <w:bottom w:val="dotted" w:color="auto" w:sz="4" w:space="0"/>
              <w:right w:val="dotted" w:color="auto" w:sz="4" w:space="0"/>
            </w:tcBorders>
            <w:vAlign w:val="center"/>
          </w:tcPr>
          <w:p w14:paraId="132917A9">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达市定目标</w:t>
            </w:r>
          </w:p>
        </w:tc>
        <w:tc>
          <w:tcPr>
            <w:tcW w:w="819" w:type="dxa"/>
            <w:tcBorders>
              <w:top w:val="dotted" w:color="auto" w:sz="4" w:space="0"/>
              <w:left w:val="dotted" w:color="auto" w:sz="4" w:space="0"/>
              <w:bottom w:val="dotted" w:color="auto" w:sz="4" w:space="0"/>
              <w:right w:val="dotted" w:color="auto" w:sz="4" w:space="0"/>
            </w:tcBorders>
            <w:vAlign w:val="center"/>
          </w:tcPr>
          <w:p w14:paraId="2A7D611F">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0.17</w:t>
            </w:r>
          </w:p>
        </w:tc>
        <w:tc>
          <w:tcPr>
            <w:tcW w:w="1134" w:type="dxa"/>
            <w:tcBorders>
              <w:top w:val="dotted" w:color="auto" w:sz="4" w:space="0"/>
              <w:left w:val="dotted" w:color="auto" w:sz="4" w:space="0"/>
              <w:bottom w:val="dotted" w:color="auto" w:sz="4" w:space="0"/>
              <w:right w:val="dotted" w:color="auto" w:sz="4" w:space="0"/>
            </w:tcBorders>
            <w:vAlign w:val="center"/>
          </w:tcPr>
          <w:p w14:paraId="2703BAFB">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w:t>
            </w:r>
          </w:p>
        </w:tc>
        <w:tc>
          <w:tcPr>
            <w:tcW w:w="920" w:type="dxa"/>
            <w:tcBorders>
              <w:top w:val="dotted" w:color="auto" w:sz="4" w:space="0"/>
              <w:left w:val="dotted" w:color="auto" w:sz="4" w:space="0"/>
              <w:bottom w:val="dotted" w:color="auto" w:sz="4" w:space="0"/>
              <w:right w:val="nil"/>
            </w:tcBorders>
            <w:vAlign w:val="center"/>
          </w:tcPr>
          <w:p w14:paraId="5528E50E">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否</w:t>
            </w:r>
          </w:p>
        </w:tc>
      </w:tr>
      <w:tr w14:paraId="70937C16">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exact"/>
          <w:jc w:val="center"/>
        </w:trPr>
        <w:tc>
          <w:tcPr>
            <w:tcW w:w="687" w:type="dxa"/>
            <w:vMerge w:val="continue"/>
            <w:tcBorders>
              <w:left w:val="nil"/>
              <w:right w:val="dotted" w:color="auto" w:sz="4" w:space="0"/>
            </w:tcBorders>
          </w:tcPr>
          <w:p w14:paraId="14298512">
            <w:pPr>
              <w:spacing w:line="240" w:lineRule="exact"/>
              <w:jc w:val="center"/>
              <w:rPr>
                <w:rFonts w:hint="default" w:ascii="Times New Roman" w:hAnsi="Times New Roman" w:eastAsia="方正仿宋简体" w:cs="Times New Roman"/>
                <w:sz w:val="20"/>
                <w:szCs w:val="20"/>
              </w:rPr>
            </w:pPr>
          </w:p>
        </w:tc>
        <w:tc>
          <w:tcPr>
            <w:tcW w:w="621" w:type="dxa"/>
            <w:tcBorders>
              <w:top w:val="dotted" w:color="auto" w:sz="4" w:space="0"/>
              <w:left w:val="dotted" w:color="auto" w:sz="4" w:space="0"/>
              <w:bottom w:val="dotted" w:color="auto" w:sz="4" w:space="0"/>
              <w:right w:val="dotted" w:color="auto" w:sz="4" w:space="0"/>
            </w:tcBorders>
            <w:vAlign w:val="center"/>
          </w:tcPr>
          <w:p w14:paraId="17E2B764">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28</w:t>
            </w:r>
          </w:p>
        </w:tc>
        <w:tc>
          <w:tcPr>
            <w:tcW w:w="3353" w:type="dxa"/>
            <w:tcBorders>
              <w:top w:val="dotted" w:color="auto" w:sz="4" w:space="0"/>
              <w:left w:val="dotted" w:color="auto" w:sz="4" w:space="0"/>
              <w:bottom w:val="dotted" w:color="auto" w:sz="4" w:space="0"/>
              <w:right w:val="dotted" w:color="auto" w:sz="4" w:space="0"/>
            </w:tcBorders>
            <w:vAlign w:val="center"/>
          </w:tcPr>
          <w:p w14:paraId="6FA2457A">
            <w:pPr>
              <w:spacing w:line="240" w:lineRule="exact"/>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空气质量达到二级标准以上天数比例</w:t>
            </w:r>
          </w:p>
        </w:tc>
        <w:tc>
          <w:tcPr>
            <w:tcW w:w="740" w:type="dxa"/>
            <w:tcBorders>
              <w:top w:val="dotted" w:color="auto" w:sz="4" w:space="0"/>
              <w:left w:val="dotted" w:color="auto" w:sz="4" w:space="0"/>
              <w:bottom w:val="dotted" w:color="auto" w:sz="4" w:space="0"/>
              <w:right w:val="dotted" w:color="auto" w:sz="4" w:space="0"/>
            </w:tcBorders>
            <w:vAlign w:val="center"/>
          </w:tcPr>
          <w:p w14:paraId="3F504478">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w:t>
            </w:r>
          </w:p>
        </w:tc>
        <w:tc>
          <w:tcPr>
            <w:tcW w:w="2016" w:type="dxa"/>
            <w:tcBorders>
              <w:top w:val="dotted" w:color="auto" w:sz="4" w:space="0"/>
              <w:left w:val="dotted" w:color="auto" w:sz="4" w:space="0"/>
              <w:bottom w:val="dotted" w:color="auto" w:sz="4" w:space="0"/>
              <w:right w:val="dotted" w:color="auto" w:sz="4" w:space="0"/>
            </w:tcBorders>
            <w:vAlign w:val="center"/>
          </w:tcPr>
          <w:p w14:paraId="055F7FD9">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达市定目标</w:t>
            </w:r>
          </w:p>
        </w:tc>
        <w:tc>
          <w:tcPr>
            <w:tcW w:w="819" w:type="dxa"/>
            <w:tcBorders>
              <w:top w:val="dotted" w:color="auto" w:sz="4" w:space="0"/>
              <w:left w:val="dotted" w:color="auto" w:sz="4" w:space="0"/>
              <w:bottom w:val="dotted" w:color="auto" w:sz="4" w:space="0"/>
              <w:right w:val="dotted" w:color="auto" w:sz="4" w:space="0"/>
            </w:tcBorders>
            <w:vAlign w:val="center"/>
          </w:tcPr>
          <w:p w14:paraId="3BB8498D">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79.1</w:t>
            </w:r>
          </w:p>
        </w:tc>
        <w:tc>
          <w:tcPr>
            <w:tcW w:w="1134" w:type="dxa"/>
            <w:tcBorders>
              <w:top w:val="dotted" w:color="auto" w:sz="4" w:space="0"/>
              <w:left w:val="dotted" w:color="auto" w:sz="4" w:space="0"/>
              <w:bottom w:val="dotted" w:color="auto" w:sz="4" w:space="0"/>
              <w:right w:val="dotted" w:color="auto" w:sz="4" w:space="0"/>
            </w:tcBorders>
            <w:vAlign w:val="center"/>
          </w:tcPr>
          <w:p w14:paraId="27EA7606">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w:t>
            </w:r>
          </w:p>
        </w:tc>
        <w:tc>
          <w:tcPr>
            <w:tcW w:w="920" w:type="dxa"/>
            <w:tcBorders>
              <w:top w:val="dotted" w:color="auto" w:sz="4" w:space="0"/>
              <w:left w:val="dotted" w:color="auto" w:sz="4" w:space="0"/>
              <w:bottom w:val="dotted" w:color="auto" w:sz="4" w:space="0"/>
              <w:right w:val="nil"/>
            </w:tcBorders>
            <w:vAlign w:val="center"/>
          </w:tcPr>
          <w:p w14:paraId="68BE88D0">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否</w:t>
            </w:r>
          </w:p>
        </w:tc>
      </w:tr>
      <w:tr w14:paraId="6924CEFE">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687" w:type="dxa"/>
            <w:vMerge w:val="continue"/>
            <w:tcBorders>
              <w:left w:val="nil"/>
              <w:right w:val="dotted" w:color="auto" w:sz="4" w:space="0"/>
            </w:tcBorders>
            <w:vAlign w:val="center"/>
          </w:tcPr>
          <w:p w14:paraId="650C40BD">
            <w:pPr>
              <w:spacing w:line="240" w:lineRule="exact"/>
              <w:jc w:val="center"/>
              <w:rPr>
                <w:rFonts w:hint="default" w:ascii="Times New Roman" w:hAnsi="Times New Roman" w:eastAsia="方正仿宋简体" w:cs="Times New Roman"/>
                <w:sz w:val="20"/>
                <w:szCs w:val="20"/>
              </w:rPr>
            </w:pPr>
          </w:p>
        </w:tc>
        <w:tc>
          <w:tcPr>
            <w:tcW w:w="621" w:type="dxa"/>
            <w:tcBorders>
              <w:top w:val="dotted" w:color="auto" w:sz="4" w:space="0"/>
              <w:left w:val="dotted" w:color="auto" w:sz="4" w:space="0"/>
              <w:bottom w:val="dotted" w:color="auto" w:sz="4" w:space="0"/>
              <w:right w:val="dotted" w:color="auto" w:sz="4" w:space="0"/>
            </w:tcBorders>
            <w:vAlign w:val="center"/>
          </w:tcPr>
          <w:p w14:paraId="221C9078">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29</w:t>
            </w:r>
          </w:p>
        </w:tc>
        <w:tc>
          <w:tcPr>
            <w:tcW w:w="3353" w:type="dxa"/>
            <w:tcBorders>
              <w:top w:val="dotted" w:color="auto" w:sz="4" w:space="0"/>
              <w:left w:val="dotted" w:color="auto" w:sz="4" w:space="0"/>
              <w:bottom w:val="dotted" w:color="auto" w:sz="4" w:space="0"/>
              <w:right w:val="dotted" w:color="auto" w:sz="4" w:space="0"/>
            </w:tcBorders>
            <w:vAlign w:val="center"/>
          </w:tcPr>
          <w:p w14:paraId="3CDEFE19">
            <w:pPr>
              <w:spacing w:line="240" w:lineRule="exact"/>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细颗粒物（PM</w:t>
            </w:r>
            <w:r>
              <w:rPr>
                <w:rFonts w:hint="default" w:ascii="Times New Roman" w:hAnsi="Times New Roman" w:eastAsia="方正仿宋简体" w:cs="Times New Roman"/>
                <w:sz w:val="20"/>
                <w:szCs w:val="20"/>
                <w:vertAlign w:val="subscript"/>
              </w:rPr>
              <w:t>2.5</w:t>
            </w:r>
            <w:r>
              <w:rPr>
                <w:rFonts w:hint="default" w:ascii="Times New Roman" w:hAnsi="Times New Roman" w:eastAsia="方正仿宋简体" w:cs="Times New Roman"/>
                <w:sz w:val="20"/>
                <w:szCs w:val="20"/>
              </w:rPr>
              <w:t>）浓度</w:t>
            </w:r>
          </w:p>
        </w:tc>
        <w:tc>
          <w:tcPr>
            <w:tcW w:w="740" w:type="dxa"/>
            <w:tcBorders>
              <w:top w:val="dotted" w:color="auto" w:sz="4" w:space="0"/>
              <w:left w:val="dotted" w:color="auto" w:sz="4" w:space="0"/>
              <w:bottom w:val="dotted" w:color="auto" w:sz="4" w:space="0"/>
              <w:right w:val="dotted" w:color="auto" w:sz="4" w:space="0"/>
            </w:tcBorders>
            <w:vAlign w:val="center"/>
          </w:tcPr>
          <w:p w14:paraId="51C6C8E4">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w:t>
            </w:r>
          </w:p>
        </w:tc>
        <w:tc>
          <w:tcPr>
            <w:tcW w:w="2016" w:type="dxa"/>
            <w:tcBorders>
              <w:top w:val="dotted" w:color="auto" w:sz="4" w:space="0"/>
              <w:left w:val="dotted" w:color="auto" w:sz="4" w:space="0"/>
              <w:bottom w:val="dotted" w:color="auto" w:sz="4" w:space="0"/>
              <w:right w:val="dotted" w:color="auto" w:sz="4" w:space="0"/>
            </w:tcBorders>
            <w:vAlign w:val="center"/>
          </w:tcPr>
          <w:p w14:paraId="5215BB6D">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达市定目标</w:t>
            </w:r>
          </w:p>
        </w:tc>
        <w:tc>
          <w:tcPr>
            <w:tcW w:w="819" w:type="dxa"/>
            <w:tcBorders>
              <w:top w:val="dotted" w:color="auto" w:sz="4" w:space="0"/>
              <w:left w:val="dotted" w:color="auto" w:sz="4" w:space="0"/>
              <w:bottom w:val="dotted" w:color="auto" w:sz="4" w:space="0"/>
              <w:right w:val="nil"/>
            </w:tcBorders>
            <w:vAlign w:val="center"/>
          </w:tcPr>
          <w:p w14:paraId="26C43451">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32.4</w:t>
            </w:r>
          </w:p>
        </w:tc>
        <w:tc>
          <w:tcPr>
            <w:tcW w:w="1134" w:type="dxa"/>
            <w:tcBorders>
              <w:top w:val="dotted" w:color="auto" w:sz="4" w:space="0"/>
              <w:left w:val="dotted" w:color="auto" w:sz="4" w:space="0"/>
              <w:bottom w:val="dotted" w:color="auto" w:sz="4" w:space="0"/>
              <w:right w:val="nil"/>
            </w:tcBorders>
            <w:vAlign w:val="center"/>
          </w:tcPr>
          <w:p w14:paraId="5017DA98">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w:t>
            </w:r>
          </w:p>
        </w:tc>
        <w:tc>
          <w:tcPr>
            <w:tcW w:w="920" w:type="dxa"/>
            <w:tcBorders>
              <w:top w:val="dotted" w:color="auto" w:sz="4" w:space="0"/>
              <w:left w:val="dotted" w:color="auto" w:sz="4" w:space="0"/>
              <w:bottom w:val="dotted" w:color="auto" w:sz="4" w:space="0"/>
              <w:right w:val="nil"/>
            </w:tcBorders>
            <w:vAlign w:val="center"/>
          </w:tcPr>
          <w:p w14:paraId="3E29EAE3">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否</w:t>
            </w:r>
          </w:p>
        </w:tc>
      </w:tr>
      <w:tr w14:paraId="133EAB98">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exact"/>
          <w:jc w:val="center"/>
        </w:trPr>
        <w:tc>
          <w:tcPr>
            <w:tcW w:w="687" w:type="dxa"/>
            <w:vMerge w:val="continue"/>
            <w:tcBorders>
              <w:left w:val="nil"/>
              <w:bottom w:val="dotted" w:color="auto" w:sz="4" w:space="0"/>
              <w:right w:val="dotted" w:color="auto" w:sz="4" w:space="0"/>
            </w:tcBorders>
            <w:vAlign w:val="center"/>
          </w:tcPr>
          <w:p w14:paraId="4425DFE2">
            <w:pPr>
              <w:spacing w:line="240" w:lineRule="exact"/>
              <w:jc w:val="center"/>
              <w:rPr>
                <w:rFonts w:hint="default" w:ascii="Times New Roman" w:hAnsi="Times New Roman" w:eastAsia="方正仿宋简体" w:cs="Times New Roman"/>
                <w:sz w:val="20"/>
                <w:szCs w:val="20"/>
              </w:rPr>
            </w:pPr>
          </w:p>
        </w:tc>
        <w:tc>
          <w:tcPr>
            <w:tcW w:w="621" w:type="dxa"/>
            <w:tcBorders>
              <w:top w:val="dotted" w:color="auto" w:sz="4" w:space="0"/>
              <w:left w:val="dotted" w:color="auto" w:sz="4" w:space="0"/>
              <w:bottom w:val="dotted" w:color="auto" w:sz="4" w:space="0"/>
              <w:right w:val="dotted" w:color="auto" w:sz="4" w:space="0"/>
            </w:tcBorders>
            <w:vAlign w:val="center"/>
          </w:tcPr>
          <w:p w14:paraId="7C0AB35F">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30</w:t>
            </w:r>
          </w:p>
        </w:tc>
        <w:tc>
          <w:tcPr>
            <w:tcW w:w="3353" w:type="dxa"/>
            <w:tcBorders>
              <w:top w:val="dotted" w:color="auto" w:sz="4" w:space="0"/>
              <w:left w:val="dotted" w:color="auto" w:sz="4" w:space="0"/>
              <w:bottom w:val="dotted" w:color="auto" w:sz="4" w:space="0"/>
              <w:right w:val="dotted" w:color="auto" w:sz="4" w:space="0"/>
            </w:tcBorders>
            <w:vAlign w:val="center"/>
          </w:tcPr>
          <w:p w14:paraId="41902E49">
            <w:pPr>
              <w:spacing w:line="240" w:lineRule="exact"/>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地表水省考断面达到或好于Ⅲ类水质比例</w:t>
            </w:r>
          </w:p>
        </w:tc>
        <w:tc>
          <w:tcPr>
            <w:tcW w:w="740" w:type="dxa"/>
            <w:tcBorders>
              <w:top w:val="dotted" w:color="auto" w:sz="4" w:space="0"/>
              <w:left w:val="dotted" w:color="auto" w:sz="4" w:space="0"/>
              <w:bottom w:val="dotted" w:color="auto" w:sz="4" w:space="0"/>
              <w:right w:val="dotted" w:color="auto" w:sz="4" w:space="0"/>
            </w:tcBorders>
            <w:vAlign w:val="center"/>
          </w:tcPr>
          <w:p w14:paraId="534C7A37">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w:t>
            </w:r>
          </w:p>
        </w:tc>
        <w:tc>
          <w:tcPr>
            <w:tcW w:w="2016" w:type="dxa"/>
            <w:tcBorders>
              <w:top w:val="dotted" w:color="auto" w:sz="4" w:space="0"/>
              <w:left w:val="dotted" w:color="auto" w:sz="4" w:space="0"/>
              <w:bottom w:val="dotted" w:color="auto" w:sz="4" w:space="0"/>
              <w:right w:val="dotted" w:color="auto" w:sz="4" w:space="0"/>
            </w:tcBorders>
            <w:vAlign w:val="center"/>
          </w:tcPr>
          <w:p w14:paraId="37F965B3">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达市定目标</w:t>
            </w:r>
          </w:p>
        </w:tc>
        <w:tc>
          <w:tcPr>
            <w:tcW w:w="819" w:type="dxa"/>
            <w:tcBorders>
              <w:top w:val="dotted" w:color="auto" w:sz="4" w:space="0"/>
              <w:left w:val="dotted" w:color="auto" w:sz="4" w:space="0"/>
              <w:bottom w:val="dotted" w:color="auto" w:sz="4" w:space="0"/>
              <w:right w:val="nil"/>
            </w:tcBorders>
            <w:vAlign w:val="center"/>
          </w:tcPr>
          <w:p w14:paraId="75BF5612">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100</w:t>
            </w:r>
          </w:p>
        </w:tc>
        <w:tc>
          <w:tcPr>
            <w:tcW w:w="1134" w:type="dxa"/>
            <w:tcBorders>
              <w:top w:val="dotted" w:color="auto" w:sz="4" w:space="0"/>
              <w:left w:val="dotted" w:color="auto" w:sz="4" w:space="0"/>
              <w:bottom w:val="dotted" w:color="auto" w:sz="4" w:space="0"/>
              <w:right w:val="nil"/>
            </w:tcBorders>
            <w:vAlign w:val="center"/>
          </w:tcPr>
          <w:p w14:paraId="4855ECC5">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w:t>
            </w:r>
          </w:p>
        </w:tc>
        <w:tc>
          <w:tcPr>
            <w:tcW w:w="920" w:type="dxa"/>
            <w:tcBorders>
              <w:top w:val="dotted" w:color="auto" w:sz="4" w:space="0"/>
              <w:left w:val="dotted" w:color="auto" w:sz="4" w:space="0"/>
              <w:bottom w:val="dotted" w:color="auto" w:sz="4" w:space="0"/>
              <w:right w:val="nil"/>
            </w:tcBorders>
            <w:vAlign w:val="center"/>
          </w:tcPr>
          <w:p w14:paraId="236921B4">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是</w:t>
            </w:r>
          </w:p>
        </w:tc>
      </w:tr>
      <w:tr w14:paraId="7FE827D8">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exact"/>
          <w:jc w:val="center"/>
        </w:trPr>
        <w:tc>
          <w:tcPr>
            <w:tcW w:w="687" w:type="dxa"/>
            <w:vMerge w:val="restart"/>
            <w:tcBorders>
              <w:top w:val="dotted" w:color="auto" w:sz="4" w:space="0"/>
              <w:left w:val="nil"/>
              <w:bottom w:val="dotted" w:color="auto" w:sz="4" w:space="0"/>
              <w:right w:val="dotted" w:color="auto" w:sz="4" w:space="0"/>
            </w:tcBorders>
            <w:vAlign w:val="center"/>
          </w:tcPr>
          <w:p w14:paraId="66499858">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安全韧性</w:t>
            </w:r>
          </w:p>
        </w:tc>
        <w:tc>
          <w:tcPr>
            <w:tcW w:w="621" w:type="dxa"/>
            <w:tcBorders>
              <w:top w:val="dotted" w:color="auto" w:sz="4" w:space="0"/>
              <w:left w:val="dotted" w:color="auto" w:sz="4" w:space="0"/>
              <w:bottom w:val="dotted" w:color="auto" w:sz="4" w:space="0"/>
              <w:right w:val="dotted" w:color="auto" w:sz="4" w:space="0"/>
            </w:tcBorders>
            <w:vAlign w:val="center"/>
          </w:tcPr>
          <w:p w14:paraId="306655AA">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31</w:t>
            </w:r>
          </w:p>
        </w:tc>
        <w:tc>
          <w:tcPr>
            <w:tcW w:w="3353" w:type="dxa"/>
            <w:tcBorders>
              <w:top w:val="dotted" w:color="auto" w:sz="4" w:space="0"/>
              <w:left w:val="dotted" w:color="auto" w:sz="4" w:space="0"/>
              <w:bottom w:val="dotted" w:color="auto" w:sz="4" w:space="0"/>
              <w:right w:val="dotted" w:color="auto" w:sz="4" w:space="0"/>
            </w:tcBorders>
            <w:vAlign w:val="center"/>
          </w:tcPr>
          <w:p w14:paraId="60F13199">
            <w:pPr>
              <w:spacing w:line="240" w:lineRule="exact"/>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粮食综合生产能力</w:t>
            </w:r>
          </w:p>
        </w:tc>
        <w:tc>
          <w:tcPr>
            <w:tcW w:w="740" w:type="dxa"/>
            <w:tcBorders>
              <w:top w:val="dotted" w:color="auto" w:sz="4" w:space="0"/>
              <w:left w:val="dotted" w:color="auto" w:sz="4" w:space="0"/>
              <w:bottom w:val="dotted" w:color="auto" w:sz="4" w:space="0"/>
              <w:right w:val="dotted" w:color="auto" w:sz="4" w:space="0"/>
            </w:tcBorders>
            <w:vAlign w:val="center"/>
          </w:tcPr>
          <w:p w14:paraId="2008A86E">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w:t>
            </w:r>
          </w:p>
        </w:tc>
        <w:tc>
          <w:tcPr>
            <w:tcW w:w="2016" w:type="dxa"/>
            <w:tcBorders>
              <w:top w:val="dotted" w:color="auto" w:sz="4" w:space="0"/>
              <w:left w:val="dotted" w:color="auto" w:sz="4" w:space="0"/>
              <w:bottom w:val="dotted" w:color="auto" w:sz="4" w:space="0"/>
              <w:right w:val="dotted" w:color="auto" w:sz="4" w:space="0"/>
            </w:tcBorders>
            <w:vAlign w:val="center"/>
          </w:tcPr>
          <w:p w14:paraId="07324261">
            <w:pPr>
              <w:spacing w:line="240" w:lineRule="exact"/>
              <w:jc w:val="center"/>
              <w:rPr>
                <w:rFonts w:hint="default" w:ascii="Times New Roman" w:hAnsi="Times New Roman" w:eastAsia="方正仿宋简体" w:cs="Times New Roman"/>
                <w:snapToGrid w:val="0"/>
                <w:sz w:val="20"/>
                <w:szCs w:val="20"/>
              </w:rPr>
            </w:pPr>
            <w:r>
              <w:rPr>
                <w:rFonts w:hint="default" w:ascii="Times New Roman" w:hAnsi="Times New Roman" w:eastAsia="方正仿宋简体" w:cs="Times New Roman"/>
                <w:snapToGrid w:val="0"/>
                <w:sz w:val="20"/>
                <w:szCs w:val="20"/>
              </w:rPr>
              <w:t>达市考核目标</w:t>
            </w:r>
          </w:p>
        </w:tc>
        <w:tc>
          <w:tcPr>
            <w:tcW w:w="2873" w:type="dxa"/>
            <w:gridSpan w:val="3"/>
            <w:tcBorders>
              <w:top w:val="dotted" w:color="auto" w:sz="4" w:space="0"/>
              <w:left w:val="dotted" w:color="auto" w:sz="4" w:space="0"/>
              <w:bottom w:val="dotted" w:color="auto" w:sz="4" w:space="0"/>
              <w:right w:val="nil"/>
            </w:tcBorders>
            <w:vAlign w:val="center"/>
          </w:tcPr>
          <w:p w14:paraId="16CA916D">
            <w:pPr>
              <w:spacing w:line="28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夏粮播种面积36.4万亩</w:t>
            </w:r>
          </w:p>
          <w:p w14:paraId="2E29427B">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夏粮总产12.85万吨</w:t>
            </w:r>
          </w:p>
        </w:tc>
      </w:tr>
      <w:tr w14:paraId="4705CABF">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exact"/>
          <w:jc w:val="center"/>
        </w:trPr>
        <w:tc>
          <w:tcPr>
            <w:tcW w:w="687" w:type="dxa"/>
            <w:vMerge w:val="continue"/>
            <w:tcBorders>
              <w:top w:val="dotted" w:color="auto" w:sz="4" w:space="0"/>
              <w:left w:val="nil"/>
              <w:bottom w:val="dotted" w:color="auto" w:sz="4" w:space="0"/>
              <w:right w:val="dotted" w:color="auto" w:sz="4" w:space="0"/>
            </w:tcBorders>
            <w:vAlign w:val="center"/>
          </w:tcPr>
          <w:p w14:paraId="084D8E65">
            <w:pPr>
              <w:spacing w:line="240" w:lineRule="exact"/>
              <w:jc w:val="center"/>
              <w:rPr>
                <w:rFonts w:hint="default" w:ascii="Times New Roman" w:hAnsi="Times New Roman" w:eastAsia="方正仿宋简体" w:cs="Times New Roman"/>
                <w:sz w:val="20"/>
                <w:szCs w:val="20"/>
              </w:rPr>
            </w:pPr>
          </w:p>
        </w:tc>
        <w:tc>
          <w:tcPr>
            <w:tcW w:w="621" w:type="dxa"/>
            <w:tcBorders>
              <w:top w:val="dotted" w:color="auto" w:sz="4" w:space="0"/>
              <w:left w:val="dotted" w:color="auto" w:sz="4" w:space="0"/>
              <w:bottom w:val="dotted" w:color="auto" w:sz="4" w:space="0"/>
              <w:right w:val="dotted" w:color="auto" w:sz="4" w:space="0"/>
            </w:tcBorders>
            <w:vAlign w:val="center"/>
          </w:tcPr>
          <w:p w14:paraId="225C7529">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32</w:t>
            </w:r>
          </w:p>
        </w:tc>
        <w:tc>
          <w:tcPr>
            <w:tcW w:w="3353" w:type="dxa"/>
            <w:tcBorders>
              <w:top w:val="dotted" w:color="auto" w:sz="4" w:space="0"/>
              <w:left w:val="dotted" w:color="auto" w:sz="4" w:space="0"/>
              <w:bottom w:val="dotted" w:color="auto" w:sz="4" w:space="0"/>
              <w:right w:val="dotted" w:color="auto" w:sz="4" w:space="0"/>
            </w:tcBorders>
            <w:vAlign w:val="center"/>
          </w:tcPr>
          <w:p w14:paraId="50076FC6">
            <w:pPr>
              <w:spacing w:line="240" w:lineRule="exact"/>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耕地保有量</w:t>
            </w:r>
          </w:p>
        </w:tc>
        <w:tc>
          <w:tcPr>
            <w:tcW w:w="740" w:type="dxa"/>
            <w:tcBorders>
              <w:top w:val="dotted" w:color="auto" w:sz="4" w:space="0"/>
              <w:left w:val="dotted" w:color="auto" w:sz="4" w:space="0"/>
              <w:bottom w:val="dotted" w:color="auto" w:sz="4" w:space="0"/>
              <w:right w:val="dotted" w:color="auto" w:sz="4" w:space="0"/>
            </w:tcBorders>
            <w:vAlign w:val="center"/>
          </w:tcPr>
          <w:p w14:paraId="4857DC84">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万公顷</w:t>
            </w:r>
          </w:p>
        </w:tc>
        <w:tc>
          <w:tcPr>
            <w:tcW w:w="2016" w:type="dxa"/>
            <w:tcBorders>
              <w:top w:val="dotted" w:color="auto" w:sz="4" w:space="0"/>
              <w:left w:val="dotted" w:color="auto" w:sz="4" w:space="0"/>
              <w:bottom w:val="dotted" w:color="auto" w:sz="4" w:space="0"/>
              <w:right w:val="dotted" w:color="auto" w:sz="4" w:space="0"/>
            </w:tcBorders>
            <w:vAlign w:val="center"/>
          </w:tcPr>
          <w:p w14:paraId="6DB388C5">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5.196</w:t>
            </w:r>
          </w:p>
        </w:tc>
        <w:tc>
          <w:tcPr>
            <w:tcW w:w="819" w:type="dxa"/>
            <w:tcBorders>
              <w:top w:val="dotted" w:color="auto" w:sz="4" w:space="0"/>
              <w:left w:val="dotted" w:color="auto" w:sz="4" w:space="0"/>
              <w:bottom w:val="dotted" w:color="auto" w:sz="4" w:space="0"/>
              <w:right w:val="dotted" w:color="auto" w:sz="4" w:space="0"/>
            </w:tcBorders>
            <w:vAlign w:val="center"/>
          </w:tcPr>
          <w:p w14:paraId="1B92DF16">
            <w:pPr>
              <w:spacing w:line="30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5.263</w:t>
            </w:r>
          </w:p>
        </w:tc>
        <w:tc>
          <w:tcPr>
            <w:tcW w:w="1134" w:type="dxa"/>
            <w:tcBorders>
              <w:top w:val="dotted" w:color="auto" w:sz="4" w:space="0"/>
              <w:left w:val="dotted" w:color="auto" w:sz="4" w:space="0"/>
              <w:bottom w:val="dotted" w:color="auto" w:sz="4" w:space="0"/>
              <w:right w:val="dotted" w:color="auto" w:sz="4" w:space="0"/>
            </w:tcBorders>
            <w:vAlign w:val="center"/>
          </w:tcPr>
          <w:p w14:paraId="6C8509A9">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w:t>
            </w:r>
          </w:p>
        </w:tc>
        <w:tc>
          <w:tcPr>
            <w:tcW w:w="920" w:type="dxa"/>
            <w:tcBorders>
              <w:top w:val="dotted" w:color="auto" w:sz="4" w:space="0"/>
              <w:left w:val="dotted" w:color="auto" w:sz="4" w:space="0"/>
              <w:bottom w:val="dotted" w:color="auto" w:sz="4" w:space="0"/>
              <w:right w:val="nil"/>
            </w:tcBorders>
            <w:vAlign w:val="center"/>
          </w:tcPr>
          <w:p w14:paraId="46D07ADA">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是</w:t>
            </w:r>
          </w:p>
        </w:tc>
      </w:tr>
      <w:tr w14:paraId="5A419092">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exact"/>
          <w:jc w:val="center"/>
        </w:trPr>
        <w:tc>
          <w:tcPr>
            <w:tcW w:w="687" w:type="dxa"/>
            <w:vMerge w:val="continue"/>
            <w:tcBorders>
              <w:top w:val="dotted" w:color="auto" w:sz="4" w:space="0"/>
              <w:left w:val="nil"/>
              <w:bottom w:val="dotted" w:color="auto" w:sz="4" w:space="0"/>
              <w:right w:val="dotted" w:color="auto" w:sz="4" w:space="0"/>
            </w:tcBorders>
          </w:tcPr>
          <w:p w14:paraId="443FDB27">
            <w:pPr>
              <w:spacing w:line="240" w:lineRule="exact"/>
              <w:rPr>
                <w:rFonts w:hint="default" w:ascii="Times New Roman" w:hAnsi="Times New Roman" w:eastAsia="方正仿宋简体" w:cs="Times New Roman"/>
                <w:sz w:val="20"/>
                <w:szCs w:val="20"/>
              </w:rPr>
            </w:pPr>
          </w:p>
        </w:tc>
        <w:tc>
          <w:tcPr>
            <w:tcW w:w="621" w:type="dxa"/>
            <w:tcBorders>
              <w:top w:val="dotted" w:color="auto" w:sz="4" w:space="0"/>
              <w:left w:val="dotted" w:color="auto" w:sz="4" w:space="0"/>
              <w:bottom w:val="dotted" w:color="auto" w:sz="4" w:space="0"/>
              <w:right w:val="dotted" w:color="auto" w:sz="4" w:space="0"/>
            </w:tcBorders>
            <w:vAlign w:val="center"/>
          </w:tcPr>
          <w:p w14:paraId="60C731DF">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33</w:t>
            </w:r>
          </w:p>
        </w:tc>
        <w:tc>
          <w:tcPr>
            <w:tcW w:w="3353" w:type="dxa"/>
            <w:tcBorders>
              <w:top w:val="dotted" w:color="auto" w:sz="4" w:space="0"/>
              <w:left w:val="dotted" w:color="auto" w:sz="4" w:space="0"/>
              <w:bottom w:val="dotted" w:color="auto" w:sz="4" w:space="0"/>
              <w:right w:val="dotted" w:color="auto" w:sz="4" w:space="0"/>
            </w:tcBorders>
            <w:vAlign w:val="center"/>
          </w:tcPr>
          <w:p w14:paraId="54D11585">
            <w:pPr>
              <w:spacing w:line="240" w:lineRule="exact"/>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安全生产发展水平</w:t>
            </w:r>
          </w:p>
        </w:tc>
        <w:tc>
          <w:tcPr>
            <w:tcW w:w="740" w:type="dxa"/>
            <w:tcBorders>
              <w:top w:val="dotted" w:color="auto" w:sz="4" w:space="0"/>
              <w:left w:val="dotted" w:color="auto" w:sz="4" w:space="0"/>
              <w:bottom w:val="dotted" w:color="auto" w:sz="4" w:space="0"/>
              <w:right w:val="dotted" w:color="auto" w:sz="4" w:space="0"/>
            </w:tcBorders>
            <w:vAlign w:val="center"/>
          </w:tcPr>
          <w:p w14:paraId="74338387">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w:t>
            </w:r>
          </w:p>
        </w:tc>
        <w:tc>
          <w:tcPr>
            <w:tcW w:w="2016" w:type="dxa"/>
            <w:tcBorders>
              <w:top w:val="dotted" w:color="auto" w:sz="4" w:space="0"/>
              <w:left w:val="dotted" w:color="auto" w:sz="4" w:space="0"/>
              <w:bottom w:val="dotted" w:color="auto" w:sz="4" w:space="0"/>
              <w:right w:val="dotted" w:color="auto" w:sz="4" w:space="0"/>
            </w:tcBorders>
            <w:vAlign w:val="center"/>
          </w:tcPr>
          <w:p w14:paraId="7749C7AD">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napToGrid w:val="0"/>
                <w:sz w:val="20"/>
                <w:szCs w:val="20"/>
              </w:rPr>
              <w:t>达市考核目标</w:t>
            </w:r>
          </w:p>
        </w:tc>
        <w:tc>
          <w:tcPr>
            <w:tcW w:w="2873" w:type="dxa"/>
            <w:gridSpan w:val="3"/>
            <w:tcBorders>
              <w:top w:val="dotted" w:color="auto" w:sz="4" w:space="0"/>
              <w:left w:val="dotted" w:color="auto" w:sz="4" w:space="0"/>
              <w:bottom w:val="dotted" w:color="auto" w:sz="4" w:space="0"/>
              <w:right w:val="nil"/>
            </w:tcBorders>
            <w:vAlign w:val="center"/>
          </w:tcPr>
          <w:p w14:paraId="647E3EF1">
            <w:pPr>
              <w:spacing w:line="240" w:lineRule="exact"/>
              <w:jc w:val="center"/>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0"/>
                <w:szCs w:val="20"/>
              </w:rPr>
              <w:t>达市考核目标</w:t>
            </w:r>
          </w:p>
        </w:tc>
      </w:tr>
    </w:tbl>
    <w:p w14:paraId="52F546D7">
      <w:pPr>
        <w:spacing w:line="550" w:lineRule="exact"/>
        <w:ind w:firstLine="640" w:firstLineChars="200"/>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rPr>
        <w:t>（二）重点项目进展情况</w:t>
      </w:r>
    </w:p>
    <w:p w14:paraId="46A8E252">
      <w:pPr>
        <w:spacing w:line="55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2024年全区重大项目153个</w:t>
      </w:r>
      <w:r>
        <w:rPr>
          <w:rFonts w:hint="default" w:ascii="Times New Roman" w:hAnsi="Times New Roman" w:eastAsia="方正楷体简体" w:cs="Times New Roman"/>
          <w:sz w:val="32"/>
          <w:szCs w:val="32"/>
        </w:rPr>
        <w:t>（续建78个、新开工55个、力争开工20个）</w:t>
      </w:r>
      <w:r>
        <w:rPr>
          <w:rFonts w:hint="default" w:ascii="Times New Roman" w:hAnsi="Times New Roman" w:eastAsia="方正仿宋简体" w:cs="Times New Roman"/>
          <w:sz w:val="32"/>
          <w:szCs w:val="32"/>
        </w:rPr>
        <w:t>，总投资1233.6亿元，当年计划投资177.2亿元。上半年实施项目130个，实施率达97.7%，完成统计投资138.2亿元、占年度计划的78%；其中，产业类项目实施76个，实施率达97.4%，完成当年计划投资67.8%。18个市重大实施项目</w:t>
      </w:r>
      <w:r>
        <w:rPr>
          <w:rFonts w:hint="default" w:ascii="Times New Roman" w:hAnsi="Times New Roman" w:eastAsia="方正楷体简体" w:cs="Times New Roman"/>
          <w:sz w:val="32"/>
          <w:szCs w:val="32"/>
        </w:rPr>
        <w:t>（续建10个、新开工8个）</w:t>
      </w:r>
      <w:r>
        <w:rPr>
          <w:rFonts w:hint="default" w:ascii="Times New Roman" w:hAnsi="Times New Roman" w:eastAsia="方正仿宋简体" w:cs="Times New Roman"/>
          <w:sz w:val="32"/>
          <w:szCs w:val="32"/>
        </w:rPr>
        <w:t>实施率达100%，完成投资41.8亿元、占年度计划的99.5%。市、区重大项目投资完成率均超序时进度要求。政府投资A类项目76个，当年计划投资66.4亿元，上半年项目实施率82.9%，投资完成率58%。</w:t>
      </w:r>
    </w:p>
    <w:p w14:paraId="70038AEB">
      <w:pPr>
        <w:spacing w:line="550" w:lineRule="exact"/>
        <w:ind w:firstLine="640" w:firstLineChars="200"/>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rPr>
        <w:t>（三）主要工作成效</w:t>
      </w:r>
    </w:p>
    <w:p w14:paraId="486F31AA">
      <w:pPr>
        <w:spacing w:line="55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列入2024年人代会计划的产业转型升级、经济循环发展、深化改革开放、宜居城市建设、增进民生福祉等五个方面重点工作取得明显成效。</w:t>
      </w:r>
      <w:r>
        <w:rPr>
          <w:rFonts w:hint="default" w:ascii="Times New Roman" w:hAnsi="Times New Roman" w:eastAsia="方正仿宋简体" w:cs="Times New Roman"/>
          <w:color w:val="000000" w:themeColor="text1"/>
          <w:sz w:val="32"/>
          <w:szCs w:val="32"/>
          <w14:textFill>
            <w14:solidFill>
              <w14:schemeClr w14:val="tx1"/>
            </w14:solidFill>
          </w14:textFill>
        </w:rPr>
        <w:t>在全市“五拼五比晒五榜”竞赛活动中，获得拼招商比突破“热力榜”、拼创新比转化“动力榜”、拼服务比效率“能力</w:t>
      </w:r>
      <w:r>
        <w:rPr>
          <w:rFonts w:hint="default" w:ascii="Times New Roman" w:hAnsi="Times New Roman" w:eastAsia="方正仿宋简体" w:cs="Times New Roman"/>
          <w:sz w:val="32"/>
          <w:szCs w:val="32"/>
        </w:rPr>
        <w:t>榜”红旗激励。</w:t>
      </w:r>
    </w:p>
    <w:p w14:paraId="74BE2D55">
      <w:pPr>
        <w:pStyle w:val="10"/>
        <w:spacing w:beforeAutospacing="0" w:afterAutospacing="0" w:line="550" w:lineRule="exact"/>
        <w:ind w:firstLine="643" w:firstLineChars="200"/>
        <w:jc w:val="both"/>
        <w:rPr>
          <w:rFonts w:hint="default" w:ascii="Times New Roman" w:hAnsi="Times New Roman" w:eastAsia="方正仿宋简体" w:cs="Times New Roman"/>
          <w:b/>
          <w:bCs/>
          <w:sz w:val="32"/>
          <w:szCs w:val="32"/>
        </w:rPr>
      </w:pPr>
      <w:bookmarkStart w:id="0" w:name="_Hlk172034732"/>
      <w:r>
        <w:rPr>
          <w:rFonts w:hint="default" w:ascii="Times New Roman" w:hAnsi="Times New Roman" w:eastAsia="方正仿宋简体" w:cs="Times New Roman"/>
          <w:b/>
          <w:bCs/>
          <w:sz w:val="32"/>
          <w:szCs w:val="40"/>
        </w:rPr>
        <w:t>1.聚焦创新驱动促发展，</w:t>
      </w:r>
      <w:bookmarkEnd w:id="0"/>
      <w:r>
        <w:rPr>
          <w:rFonts w:hint="default" w:ascii="Times New Roman" w:hAnsi="Times New Roman" w:eastAsia="方正仿宋简体" w:cs="Times New Roman"/>
          <w:b/>
          <w:bCs/>
          <w:sz w:val="32"/>
          <w:szCs w:val="32"/>
        </w:rPr>
        <w:t>产业转型蹄疾步稳</w:t>
      </w:r>
    </w:p>
    <w:p w14:paraId="0461F31D">
      <w:pPr>
        <w:pStyle w:val="10"/>
        <w:spacing w:beforeAutospacing="0" w:afterAutospacing="0" w:line="550" w:lineRule="exact"/>
        <w:ind w:firstLine="643" w:firstLineChars="200"/>
        <w:jc w:val="both"/>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40"/>
        </w:rPr>
        <w:t>创新动能加速积聚。</w:t>
      </w:r>
      <w:r>
        <w:rPr>
          <w:rFonts w:hint="default" w:ascii="Times New Roman" w:hAnsi="Times New Roman" w:eastAsia="方正仿宋简体" w:cs="Times New Roman"/>
          <w:sz w:val="32"/>
          <w:szCs w:val="32"/>
        </w:rPr>
        <w:t>围绕“501科创产业带”加快构建六合产业科技创新港“一港两城六片区”空间布局，</w:t>
      </w:r>
      <w:r>
        <w:rPr>
          <w:rFonts w:hint="default" w:ascii="Times New Roman" w:hAnsi="Times New Roman" w:eastAsia="方正仿宋_GBK" w:cs="Times New Roman"/>
          <w:sz w:val="32"/>
          <w:szCs w:val="32"/>
        </w:rPr>
        <w:t>签约落地南师大灵岩产教融合研创区，</w:t>
      </w:r>
      <w:r>
        <w:rPr>
          <w:rFonts w:hint="default" w:ascii="Times New Roman" w:hAnsi="Times New Roman" w:eastAsia="方正仿宋简体" w:cs="Times New Roman"/>
          <w:sz w:val="32"/>
          <w:szCs w:val="32"/>
        </w:rPr>
        <w:t>累计引入5个全国重点实验室、6个省部级创新平台、8个央企校地联合实验室、</w:t>
      </w:r>
      <w:r>
        <w:rPr>
          <w:rFonts w:hint="default" w:ascii="Times New Roman" w:hAnsi="Times New Roman" w:eastAsia="方正仿宋简体" w:cs="Times New Roman"/>
          <w:color w:val="000000" w:themeColor="text1"/>
          <w:sz w:val="32"/>
          <w14:textFill>
            <w14:solidFill>
              <w14:schemeClr w14:val="tx1"/>
            </w14:solidFill>
          </w14:textFill>
        </w:rPr>
        <w:t>73个人才和产业化项目以及150多名高端人才</w:t>
      </w:r>
      <w:r>
        <w:rPr>
          <w:rFonts w:hint="default" w:ascii="Times New Roman" w:hAnsi="Times New Roman" w:eastAsia="方正仿宋简体" w:cs="Times New Roman"/>
          <w:sz w:val="32"/>
          <w:szCs w:val="32"/>
        </w:rPr>
        <w:t>；规上企业研发费用同比增长24.1%，新研机构及其孵化引进企业营收达30亿元、提前完成年度目标；申报国家重点人才工程A类64人次、市中青年拔尖人才17人、省国际合作项目1个。</w:t>
      </w:r>
      <w:r>
        <w:rPr>
          <w:rFonts w:hint="default" w:ascii="Times New Roman" w:hAnsi="Times New Roman" w:eastAsia="方正仿宋简体" w:cs="Times New Roman"/>
          <w:b/>
          <w:bCs/>
          <w:sz w:val="32"/>
          <w:szCs w:val="32"/>
        </w:rPr>
        <w:t>实体经济发展壮大。</w:t>
      </w:r>
      <w:r>
        <w:rPr>
          <w:rFonts w:hint="default" w:ascii="Times New Roman" w:hAnsi="Times New Roman" w:eastAsia="方正仿宋简体" w:cs="Times New Roman"/>
          <w:sz w:val="32"/>
          <w:szCs w:val="32"/>
        </w:rPr>
        <w:t>规上工业总产值同比增长13.7%、排名全市第1，其中新能源、</w:t>
      </w:r>
      <w:r>
        <w:rPr>
          <w:rFonts w:hint="default" w:ascii="Times New Roman" w:hAnsi="Times New Roman" w:eastAsia="方正仿宋简体" w:cs="Times New Roman"/>
          <w:sz w:val="32"/>
          <w:szCs w:val="32"/>
          <w:lang w:bidi="mn-Mong-CN"/>
        </w:rPr>
        <w:t>智能制造装备、节能环保新材料同比分别增长62%、23.7%、17.9%，</w:t>
      </w:r>
      <w:r>
        <w:rPr>
          <w:rFonts w:hint="default" w:ascii="Times New Roman" w:hAnsi="Times New Roman" w:eastAsia="方正仿宋简体" w:cs="Times New Roman"/>
          <w:sz w:val="32"/>
          <w:szCs w:val="32"/>
        </w:rPr>
        <w:t>航空航天产业初具规模，</w:t>
      </w:r>
      <w:r>
        <w:rPr>
          <w:rFonts w:hint="default" w:ascii="Times New Roman" w:hAnsi="Times New Roman" w:eastAsia="方正仿宋简体" w:cs="Times New Roman"/>
          <w:sz w:val="32"/>
          <w:szCs w:val="32"/>
          <w:lang w:bidi="mn-Mong-CN"/>
        </w:rPr>
        <w:t>开通“南航国际创新港和明故宫校区”低空物流航线，实现首个跨校区物流运输场景应用；新增创新型中小企业56家</w:t>
      </w:r>
      <w:r>
        <w:rPr>
          <w:rFonts w:hint="eastAsia" w:ascii="Times New Roman" w:hAnsi="Times New Roman" w:eastAsia="方正仿宋简体" w:cs="Times New Roman"/>
          <w:sz w:val="32"/>
          <w:szCs w:val="32"/>
          <w:lang w:eastAsia="zh-CN" w:bidi="mn-Mong-CN"/>
        </w:rPr>
        <w:t>、</w:t>
      </w:r>
      <w:r>
        <w:rPr>
          <w:rFonts w:hint="default" w:ascii="Times New Roman" w:hAnsi="Times New Roman" w:eastAsia="方正仿宋简体" w:cs="Times New Roman"/>
          <w:sz w:val="32"/>
          <w:szCs w:val="32"/>
        </w:rPr>
        <w:t>省级专精特新中小企业11家，</w:t>
      </w:r>
      <w:r>
        <w:rPr>
          <w:rFonts w:hint="default" w:ascii="Times New Roman" w:hAnsi="Times New Roman" w:eastAsia="方正仿宋简体" w:cs="Times New Roman"/>
          <w:color w:val="000000" w:themeColor="text1"/>
          <w:sz w:val="32"/>
          <w14:textFill>
            <w14:solidFill>
              <w14:schemeClr w14:val="tx1"/>
            </w14:solidFill>
          </w14:textFill>
        </w:rPr>
        <w:t>利德东方成为全区首家入选省级智能制造工厂名单企业</w:t>
      </w:r>
      <w:r>
        <w:rPr>
          <w:rFonts w:hint="default" w:ascii="Times New Roman" w:hAnsi="Times New Roman" w:eastAsia="方正仿宋简体" w:cs="Times New Roman"/>
          <w:sz w:val="32"/>
          <w:szCs w:val="32"/>
          <w:lang w:bidi="mn-Mong-CN"/>
        </w:rPr>
        <w:t>；</w:t>
      </w:r>
      <w:r>
        <w:rPr>
          <w:rFonts w:hint="default" w:ascii="Times New Roman" w:hAnsi="Times New Roman" w:eastAsia="方正仿宋简体" w:cs="Times New Roman"/>
          <w:sz w:val="32"/>
          <w:szCs w:val="32"/>
        </w:rPr>
        <w:t>参与GDP核算的规上服务业营收</w:t>
      </w:r>
      <w:r>
        <w:rPr>
          <w:rFonts w:hint="default" w:ascii="Times New Roman" w:hAnsi="Times New Roman" w:eastAsia="方正楷体简体" w:cs="Times New Roman"/>
          <w:sz w:val="32"/>
          <w:szCs w:val="32"/>
        </w:rPr>
        <w:t>（错月）</w:t>
      </w:r>
      <w:r>
        <w:rPr>
          <w:rFonts w:hint="default" w:ascii="Times New Roman" w:hAnsi="Times New Roman" w:eastAsia="方正仿宋简体" w:cs="Times New Roman"/>
          <w:sz w:val="32"/>
          <w:szCs w:val="32"/>
        </w:rPr>
        <w:t>增长21.9%、排名全市第1，其中软件信息传输业、科学技术服务业分别增长17.3%、20.1%。</w:t>
      </w:r>
      <w:r>
        <w:rPr>
          <w:rFonts w:hint="default" w:ascii="Times New Roman" w:hAnsi="Times New Roman" w:eastAsia="方正仿宋简体" w:cs="Times New Roman"/>
          <w:b/>
          <w:bCs/>
          <w:sz w:val="32"/>
          <w:szCs w:val="40"/>
          <w:lang w:bidi="ar"/>
        </w:rPr>
        <w:t>农旅融合高效发展。</w:t>
      </w:r>
      <w:r>
        <w:rPr>
          <w:rFonts w:hint="default" w:ascii="Times New Roman" w:hAnsi="Times New Roman" w:eastAsia="方正仿宋简体" w:cs="Times New Roman"/>
          <w:kern w:val="2"/>
          <w:sz w:val="32"/>
          <w:szCs w:val="32"/>
        </w:rPr>
        <w:t>集成推广良田良种良机良法，</w:t>
      </w:r>
      <w:r>
        <w:rPr>
          <w:rFonts w:hint="default" w:ascii="Times New Roman" w:hAnsi="Times New Roman" w:eastAsia="方正仿宋简体" w:cs="Times New Roman"/>
          <w:sz w:val="32"/>
          <w:szCs w:val="32"/>
        </w:rPr>
        <w:t>顺利完成夏收夏种工作，</w:t>
      </w:r>
      <w:r>
        <w:rPr>
          <w:rFonts w:hint="default" w:ascii="Times New Roman" w:hAnsi="Times New Roman" w:eastAsia="方正仿宋简体" w:cs="Times New Roman"/>
          <w:kern w:val="2"/>
          <w:sz w:val="32"/>
          <w:szCs w:val="32"/>
        </w:rPr>
        <w:t>2.21万亩高标准农田有序建设，</w:t>
      </w:r>
      <w:r>
        <w:rPr>
          <w:rFonts w:hint="default" w:ascii="Times New Roman" w:hAnsi="Times New Roman" w:eastAsia="方正仿宋简体" w:cs="Times New Roman"/>
          <w:sz w:val="32"/>
          <w:szCs w:val="32"/>
        </w:rPr>
        <w:t>一产增加值同比增长4%</w:t>
      </w:r>
      <w:r>
        <w:rPr>
          <w:rFonts w:hint="default" w:ascii="Times New Roman" w:hAnsi="Times New Roman" w:eastAsia="方正仿宋简体" w:cs="Times New Roman"/>
          <w:kern w:val="2"/>
          <w:sz w:val="32"/>
          <w:szCs w:val="32"/>
        </w:rPr>
        <w:t>；新引进落地投资千万元以上的农业企业7家，</w:t>
      </w:r>
      <w:r>
        <w:rPr>
          <w:rFonts w:hint="default" w:ascii="Times New Roman" w:hAnsi="Times New Roman" w:eastAsia="方正仿宋简体" w:cs="Times New Roman"/>
          <w:sz w:val="32"/>
          <w:szCs w:val="32"/>
        </w:rPr>
        <w:t>“茉莉六合”农产品区域公用品牌营收同比翻两番；</w:t>
      </w:r>
      <w:r>
        <w:rPr>
          <w:rFonts w:hint="default" w:ascii="Times New Roman" w:hAnsi="Times New Roman" w:eastAsia="仿宋" w:cs="Times New Roman"/>
          <w:sz w:val="32"/>
          <w:szCs w:val="32"/>
        </w:rPr>
        <w:t>竹镇省级红色旅游融合发展示范项目、池杉湖省级生态旅游示范区等创建工作有序推进，</w:t>
      </w:r>
      <w:r>
        <w:rPr>
          <w:rFonts w:hint="default" w:ascii="Times New Roman" w:hAnsi="Times New Roman" w:eastAsia="方正仿宋简体" w:cs="Times New Roman"/>
          <w:sz w:val="32"/>
          <w:szCs w:val="32"/>
        </w:rPr>
        <w:t>完成半亩花田、明莉晓苑等级民宿现场验收</w:t>
      </w:r>
      <w:r>
        <w:rPr>
          <w:rFonts w:hint="default" w:ascii="Times New Roman" w:hAnsi="Times New Roman" w:eastAsia="方正仿宋简体" w:cs="Times New Roman"/>
          <w:spacing w:val="10"/>
          <w:sz w:val="32"/>
          <w:szCs w:val="32"/>
        </w:rPr>
        <w:t>。</w:t>
      </w:r>
    </w:p>
    <w:p w14:paraId="60703FDE">
      <w:pPr>
        <w:pStyle w:val="6"/>
        <w:spacing w:line="550" w:lineRule="exact"/>
        <w:ind w:firstLine="643" w:firstLineChars="200"/>
        <w:rPr>
          <w:rFonts w:hint="default" w:ascii="Times New Roman" w:hAnsi="Times New Roman" w:cs="Times New Roman"/>
          <w:b/>
          <w:bCs/>
          <w:lang w:val="en-US"/>
        </w:rPr>
      </w:pPr>
      <w:bookmarkStart w:id="1" w:name="_Hlk172034794"/>
      <w:r>
        <w:rPr>
          <w:rFonts w:hint="default" w:ascii="Times New Roman" w:hAnsi="Times New Roman" w:cs="Times New Roman"/>
          <w:b/>
          <w:bCs/>
          <w:lang w:val="en-US"/>
        </w:rPr>
        <w:t>2.聚焦要素保障强支撑，内外循环持续畅通</w:t>
      </w:r>
    </w:p>
    <w:bookmarkEnd w:id="1"/>
    <w:p w14:paraId="65701A8C">
      <w:pPr>
        <w:adjustRightInd w:val="0"/>
        <w:snapToGrid w:val="0"/>
        <w:spacing w:line="550" w:lineRule="exact"/>
        <w:ind w:firstLine="643" w:firstLineChars="200"/>
        <w:rPr>
          <w:rFonts w:hint="default" w:ascii="Times New Roman" w:hAnsi="Times New Roman" w:eastAsia="方正仿宋简体" w:cs="Times New Roman"/>
          <w:bCs/>
          <w:sz w:val="32"/>
          <w:szCs w:val="32"/>
        </w:rPr>
      </w:pPr>
      <w:r>
        <w:rPr>
          <w:rFonts w:hint="default" w:ascii="Times New Roman" w:hAnsi="Times New Roman" w:eastAsia="方正仿宋简体" w:cs="Times New Roman"/>
          <w:b/>
          <w:bCs/>
          <w:sz w:val="32"/>
          <w:szCs w:val="32"/>
        </w:rPr>
        <w:t>资源要素高效保障</w:t>
      </w:r>
      <w:r>
        <w:rPr>
          <w:rFonts w:hint="default" w:ascii="Times New Roman" w:hAnsi="Times New Roman" w:eastAsia="方正仿宋简体" w:cs="Times New Roman"/>
          <w:b/>
          <w:bCs/>
          <w:kern w:val="0"/>
          <w:sz w:val="32"/>
          <w:szCs w:val="40"/>
          <w:lang w:bidi="ar"/>
        </w:rPr>
        <w:t>。</w:t>
      </w:r>
      <w:r>
        <w:rPr>
          <w:rFonts w:hint="default" w:ascii="Times New Roman" w:hAnsi="Times New Roman" w:eastAsia="方正仿宋简体" w:cs="Times New Roman"/>
          <w:bCs/>
          <w:sz w:val="32"/>
          <w:szCs w:val="32"/>
        </w:rPr>
        <w:t>统筹推进成片开发方案、村庄规划编制，</w:t>
      </w:r>
      <w:r>
        <w:rPr>
          <w:rFonts w:hint="default" w:ascii="Times New Roman" w:hAnsi="Times New Roman" w:eastAsia="方正仿宋简体" w:cs="Times New Roman"/>
          <w:kern w:val="0"/>
          <w:sz w:val="32"/>
          <w:szCs w:val="32"/>
        </w:rPr>
        <w:t>村庄规划覆盖率达73.6%；常态化推进项目“带方案挂牌+拿地即开工” ，有效缩短项目前期手续办理时间；累计为157家企业办理</w:t>
      </w:r>
      <w:r>
        <w:rPr>
          <w:rFonts w:hint="default" w:ascii="Times New Roman" w:hAnsi="Times New Roman" w:eastAsia="方正仿宋简体" w:cs="Times New Roman"/>
          <w:sz w:val="32"/>
          <w:szCs w:val="32"/>
        </w:rPr>
        <w:t>转贷业务，使用转贷基金8.6亿元，有效缓解中小企业融资难、融资贵问题；紧扣企业发展需求，实施补贴性职业培训3167人次，新增数字技能人才701人次，有效保障企业用工需求。</w:t>
      </w:r>
      <w:r>
        <w:rPr>
          <w:rFonts w:hint="default" w:ascii="Times New Roman" w:hAnsi="Times New Roman" w:eastAsia="方正仿宋简体" w:cs="Times New Roman"/>
          <w:b/>
          <w:bCs/>
          <w:kern w:val="0"/>
          <w:sz w:val="32"/>
          <w:szCs w:val="40"/>
          <w:lang w:bidi="ar"/>
        </w:rPr>
        <w:t>项目储备支撑有力。</w:t>
      </w:r>
      <w:r>
        <w:rPr>
          <w:rFonts w:hint="default" w:ascii="Times New Roman" w:hAnsi="Times New Roman" w:eastAsia="方正仿宋简体" w:cs="Times New Roman"/>
          <w:sz w:val="32"/>
          <w:szCs w:val="32"/>
        </w:rPr>
        <w:t>围绕“3+1”先进制造业产业集群，紧盯产业链重点企业、龙头领军企业，高精度对接意向项目，签约开工总投资50亿元的表面处理中心项目，累计招引项目50个、其中高能级项目2个，实现开工/运营31个，完成实际投资总额51.4亿元，均超额完成进度；持续加强政策研究和项目谋划，滚动储备政策性重大项目150个以上、总投资超千亿，7个项目通过第一批专项债审核</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4个项目成功申领超长期特别国债</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b/>
          <w:bCs/>
          <w:kern w:val="0"/>
          <w:sz w:val="32"/>
          <w:szCs w:val="40"/>
          <w:lang w:bidi="ar"/>
        </w:rPr>
        <w:t>消费潜力加快释放。</w:t>
      </w:r>
      <w:r>
        <w:rPr>
          <w:rFonts w:hint="default" w:ascii="Times New Roman" w:hAnsi="Times New Roman" w:eastAsia="方正仿宋简体" w:cs="Times New Roman"/>
          <w:sz w:val="32"/>
        </w:rPr>
        <w:t>持续开展“南京国际消费节”四季有约六合专场活动，打造消费新场景50多个，引进市、区首店近10家，组织13家企业参加市汽车消费补贴活动，限上商品销售额同比增长11.5%、排名全市第3；举办第22届南京帐篷大会、“六合大集”美食嘉年华等系列文旅活动，累计接待游客、旅游总收入分别达890万人次、96亿元，同比分别增长17.9%、15.6%；建成全市首个食品小微企业共享实验室，持续开展电子计价秤市场秩序集中整治，全面助力消费市场安全稳定。</w:t>
      </w:r>
    </w:p>
    <w:p w14:paraId="392ACF06">
      <w:pPr>
        <w:pStyle w:val="6"/>
        <w:spacing w:line="550" w:lineRule="exact"/>
        <w:ind w:firstLine="643" w:firstLineChars="200"/>
        <w:rPr>
          <w:rFonts w:hint="default" w:ascii="Times New Roman" w:hAnsi="Times New Roman" w:cs="Times New Roman"/>
          <w:b/>
          <w:bCs/>
          <w:lang w:val="en-US"/>
        </w:rPr>
      </w:pPr>
      <w:bookmarkStart w:id="2" w:name="_Hlk172034804"/>
      <w:r>
        <w:rPr>
          <w:rFonts w:hint="default" w:ascii="Times New Roman" w:hAnsi="Times New Roman" w:cs="Times New Roman"/>
          <w:b/>
          <w:bCs/>
          <w:lang w:val="en-US"/>
        </w:rPr>
        <w:t>3.聚焦改革开放优服务，发展活力加快释放</w:t>
      </w:r>
      <w:bookmarkEnd w:id="2"/>
    </w:p>
    <w:p w14:paraId="2A93090B">
      <w:pPr>
        <w:pStyle w:val="6"/>
        <w:spacing w:line="550" w:lineRule="exact"/>
        <w:ind w:firstLine="643" w:firstLineChars="200"/>
        <w:rPr>
          <w:rFonts w:hint="default" w:ascii="Times New Roman" w:hAnsi="Times New Roman" w:cs="Times New Roman"/>
        </w:rPr>
      </w:pPr>
      <w:r>
        <w:rPr>
          <w:rFonts w:hint="default" w:ascii="Times New Roman" w:hAnsi="Times New Roman" w:cs="Times New Roman"/>
          <w:b/>
          <w:bCs/>
          <w:kern w:val="0"/>
          <w:szCs w:val="40"/>
          <w:lang w:val="en-US" w:bidi="ar"/>
        </w:rPr>
        <w:t>营商环境持续优化。</w:t>
      </w:r>
      <w:r>
        <w:rPr>
          <w:rFonts w:hint="default" w:ascii="Times New Roman" w:hAnsi="Times New Roman" w:cs="Times New Roman"/>
          <w:lang w:val="en-US"/>
        </w:rPr>
        <w:t>推出企业诉求“一码通”平台，推动企业“急难愁盼”问题“一码直达”、闭环处理，政务服务效能提升度排名全市前列；</w:t>
      </w:r>
      <w:r>
        <w:rPr>
          <w:rFonts w:hint="default" w:ascii="Times New Roman" w:hAnsi="Times New Roman" w:cs="Times New Roman"/>
          <w:color w:val="000000" w:themeColor="text1"/>
          <w14:textFill>
            <w14:solidFill>
              <w14:schemeClr w14:val="tx1"/>
            </w14:solidFill>
          </w14:textFill>
        </w:rPr>
        <w:t>首家“亲清·政务港”进驻开发区、700多个事项实现“园区办”</w:t>
      </w:r>
      <w:r>
        <w:rPr>
          <w:rFonts w:hint="default" w:ascii="Times New Roman" w:hAnsi="Times New Roman" w:cs="Times New Roman"/>
        </w:rPr>
        <w:t>；</w:t>
      </w:r>
      <w:r>
        <w:rPr>
          <w:rFonts w:hint="default" w:ascii="Times New Roman" w:hAnsi="Times New Roman" w:cs="Times New Roman"/>
          <w:lang w:val="en-US"/>
        </w:rPr>
        <w:t>全面开展不动产“带押过户”登记，累计办理153笔、涉及抵押金额1.04亿元；完成全市首例经营性用地登记“零材料”办理和首宗集体建设用地首次登记“零材料”办理；在全市率先探索推出安全生产“白名单”管理制度，建立企业“首违免罚”事项清单，并深化跨部门综研联检，累计减少企业检查1078次。</w:t>
      </w:r>
      <w:r>
        <w:rPr>
          <w:rFonts w:hint="default" w:ascii="Times New Roman" w:hAnsi="Times New Roman" w:cs="Times New Roman"/>
          <w:b/>
          <w:bCs/>
          <w:kern w:val="0"/>
          <w:szCs w:val="40"/>
          <w:lang w:val="en-US" w:bidi="ar"/>
        </w:rPr>
        <w:t>改革攻坚纵深推进。</w:t>
      </w:r>
      <w:r>
        <w:rPr>
          <w:rFonts w:hint="default" w:ascii="Times New Roman" w:hAnsi="Times New Roman" w:cs="Times New Roman"/>
          <w:lang w:val="en-US"/>
        </w:rPr>
        <w:t>有力有序抓好机构改革任务，调整优化重点领域机构，完善街镇机构设置，推进议事协调机构精简优化；</w:t>
      </w:r>
      <w:r>
        <w:rPr>
          <w:rFonts w:hint="default" w:ascii="Times New Roman" w:hAnsi="Times New Roman" w:cs="Times New Roman"/>
          <w:lang w:val="en-US" w:bidi="ar-SA"/>
        </w:rPr>
        <w:t>程桥入选省级农村宅基地改革“两项试点”任务，</w:t>
      </w:r>
      <w:r>
        <w:rPr>
          <w:rFonts w:hint="default" w:ascii="Times New Roman" w:hAnsi="Times New Roman" w:cs="Times New Roman"/>
          <w:lang w:val="en-US"/>
        </w:rPr>
        <w:t>有序推进第二轮土地承包到期后再延长三十年国家试点；区智慧城市运行指挥中心实现常态化运行，</w:t>
      </w:r>
      <w:r>
        <w:rPr>
          <w:rFonts w:hint="default" w:ascii="Times New Roman" w:hAnsi="Times New Roman" w:cs="Times New Roman"/>
          <w:lang w:val="en-US" w:bidi="ar-SA"/>
        </w:rPr>
        <w:t>市级数据共享、区内数据归集有序推进；盘活国有粮食资产近4000万元，完成茉莉香公司混合所有制改革；</w:t>
      </w:r>
      <w:r>
        <w:rPr>
          <w:rFonts w:hint="default" w:ascii="Times New Roman" w:hAnsi="Times New Roman" w:cs="Times New Roman"/>
        </w:rPr>
        <w:t>区中医院申请三级中医医院转设评审</w:t>
      </w:r>
      <w:r>
        <w:rPr>
          <w:rFonts w:hint="default" w:ascii="Times New Roman" w:hAnsi="Times New Roman" w:cs="Times New Roman"/>
          <w:lang w:val="en-US"/>
        </w:rPr>
        <w:t>，</w:t>
      </w:r>
      <w:r>
        <w:rPr>
          <w:rFonts w:hint="default" w:ascii="Times New Roman" w:hAnsi="Times New Roman" w:cs="Times New Roman"/>
          <w:color w:val="000000" w:themeColor="text1"/>
          <w:kern w:val="0"/>
          <w14:textFill>
            <w14:solidFill>
              <w14:schemeClr w14:val="tx1"/>
            </w14:solidFill>
          </w14:textFill>
        </w:rPr>
        <w:t>成功创成国家学前教育普及普惠区</w:t>
      </w:r>
      <w:r>
        <w:rPr>
          <w:rFonts w:hint="default" w:ascii="Times New Roman" w:hAnsi="Times New Roman" w:cs="Times New Roman"/>
        </w:rPr>
        <w:t>。</w:t>
      </w:r>
      <w:r>
        <w:rPr>
          <w:rFonts w:hint="default" w:ascii="Times New Roman" w:hAnsi="Times New Roman" w:cs="Times New Roman"/>
          <w:b/>
          <w:bCs/>
          <w:kern w:val="0"/>
          <w:szCs w:val="40"/>
          <w:lang w:val="en-US" w:bidi="ar"/>
        </w:rPr>
        <w:t>开放合作持续深入</w:t>
      </w:r>
      <w:r>
        <w:rPr>
          <w:rFonts w:hint="default" w:ascii="Times New Roman" w:hAnsi="Times New Roman" w:eastAsia="方正楷体简体" w:cs="Times New Roman"/>
          <w:b/>
          <w:bCs/>
          <w:lang w:val="en-US" w:bidi="ar-SA"/>
        </w:rPr>
        <w:t>。</w:t>
      </w:r>
      <w:r>
        <w:rPr>
          <w:rFonts w:hint="default" w:ascii="Times New Roman" w:hAnsi="Times New Roman" w:cs="Times New Roman"/>
          <w:lang w:val="en-US"/>
        </w:rPr>
        <w:t>全面融入国家发展战略，深化与毗邻地区合作，与江北新区、栖霞区围绕项目招引、基金投资、企业创新等方面建立合作机制；</w:t>
      </w:r>
      <w:r>
        <w:rPr>
          <w:rFonts w:hint="default" w:ascii="Times New Roman" w:hAnsi="Times New Roman" w:cs="Times New Roman"/>
          <w:szCs w:val="24"/>
          <w:lang w:bidi="ar-SA"/>
        </w:rPr>
        <w:t>帮助重点企业开拓中东、俄罗斯等新市场，扭转去年外贸颓势，上半年全区外贸进出口总额达42.8亿元、同比增长21.7%、排名全市第1；新增培育跨境电商企业6家，实现跨境电商交易额11.3亿元、同比增长220.7%</w:t>
      </w:r>
      <w:r>
        <w:rPr>
          <w:rFonts w:hint="default" w:ascii="Times New Roman" w:hAnsi="Times New Roman" w:cs="Times New Roman"/>
        </w:rPr>
        <w:t>。</w:t>
      </w:r>
    </w:p>
    <w:p w14:paraId="3D61024B">
      <w:pPr>
        <w:pStyle w:val="6"/>
        <w:spacing w:line="550" w:lineRule="exact"/>
        <w:ind w:firstLine="643" w:firstLineChars="200"/>
        <w:rPr>
          <w:rFonts w:hint="default" w:ascii="Times New Roman" w:hAnsi="Times New Roman" w:cs="Times New Roman"/>
          <w:b/>
          <w:bCs/>
          <w:lang w:val="en-US"/>
        </w:rPr>
      </w:pPr>
      <w:bookmarkStart w:id="3" w:name="_Hlk172034813"/>
      <w:r>
        <w:rPr>
          <w:rFonts w:hint="default" w:ascii="Times New Roman" w:hAnsi="Times New Roman" w:cs="Times New Roman"/>
          <w:b/>
          <w:bCs/>
          <w:lang w:val="en-US"/>
        </w:rPr>
        <w:t>4.聚焦城乡建设换新貌，宜居环境日益改善</w:t>
      </w:r>
    </w:p>
    <w:bookmarkEnd w:id="3"/>
    <w:p w14:paraId="03C211E2">
      <w:pPr>
        <w:pStyle w:val="6"/>
        <w:spacing w:line="550" w:lineRule="exact"/>
        <w:ind w:firstLine="643" w:firstLineChars="200"/>
        <w:rPr>
          <w:rFonts w:hint="default" w:ascii="Times New Roman" w:hAnsi="Times New Roman" w:cs="Times New Roman"/>
          <w:lang w:val="en-US"/>
        </w:rPr>
      </w:pPr>
      <w:r>
        <w:rPr>
          <w:rFonts w:hint="default" w:ascii="Times New Roman" w:hAnsi="Times New Roman" w:cs="Times New Roman"/>
          <w:b/>
          <w:bCs/>
          <w:kern w:val="0"/>
          <w:szCs w:val="40"/>
          <w:lang w:val="en-US" w:bidi="ar"/>
        </w:rPr>
        <w:t>基础设施提档升级。</w:t>
      </w:r>
      <w:r>
        <w:rPr>
          <w:rFonts w:hint="default" w:ascii="Times New Roman" w:hAnsi="Times New Roman" w:cs="Times New Roman"/>
          <w:lang w:val="en-US"/>
        </w:rPr>
        <w:t>北沿江高铁、宁淮城际铁路、501省道及宁盐、宁滁高速全面施工，328国道宁扬交界至龙池互通段项目横梁街道先导段预计9月完工；开工建设古棠大道、河滨九期等4条道路出新改造，北外街、六瓜公路分别完成年度投资的51%、62%；</w:t>
      </w:r>
      <w:r>
        <w:rPr>
          <w:rFonts w:hint="default" w:ascii="Times New Roman" w:hAnsi="Times New Roman" w:cs="Times New Roman"/>
        </w:rPr>
        <w:t>完成主城老旧供水管网改造0.77公里；甬沪宁输油管道龙袍新城段改线工程获省发改核准，望江路、公园北路等项目已基本完工。</w:t>
      </w:r>
      <w:r>
        <w:rPr>
          <w:rFonts w:hint="default" w:ascii="Times New Roman" w:hAnsi="Times New Roman" w:cs="Times New Roman"/>
          <w:b/>
          <w:bCs/>
          <w:kern w:val="0"/>
          <w:szCs w:val="40"/>
          <w:lang w:val="en-US" w:bidi="ar"/>
        </w:rPr>
        <w:t>城乡品质加速改善。</w:t>
      </w:r>
      <w:r>
        <w:rPr>
          <w:rFonts w:hint="default" w:ascii="Times New Roman" w:hAnsi="Times New Roman" w:cs="Times New Roman"/>
        </w:rPr>
        <w:t>完成5条背街小巷整治提升，</w:t>
      </w:r>
      <w:r>
        <w:rPr>
          <w:rFonts w:hint="default" w:ascii="Times New Roman" w:hAnsi="Times New Roman" w:cs="Times New Roman"/>
          <w:lang w:val="en-US"/>
        </w:rPr>
        <w:t>新改建公厕3座，</w:t>
      </w:r>
      <w:r>
        <w:rPr>
          <w:rFonts w:hint="default" w:ascii="Times New Roman" w:hAnsi="Times New Roman" w:cs="Times New Roman"/>
        </w:rPr>
        <w:t>新增机动车共享泊位1036个</w:t>
      </w:r>
      <w:r>
        <w:rPr>
          <w:rFonts w:hint="default" w:ascii="Times New Roman" w:hAnsi="Times New Roman" w:cs="Times New Roman"/>
          <w:lang w:val="en-US"/>
        </w:rPr>
        <w:t>；</w:t>
      </w:r>
      <w:r>
        <w:rPr>
          <w:rFonts w:hint="default" w:ascii="Times New Roman" w:hAnsi="Times New Roman" w:cs="Times New Roman"/>
        </w:rPr>
        <w:t>改建38个保障房小区电动自行车停放充电场所，新增充电位9000余个；</w:t>
      </w:r>
      <w:r>
        <w:rPr>
          <w:rFonts w:hint="default" w:ascii="Times New Roman" w:hAnsi="Times New Roman" w:cs="Times New Roman"/>
          <w:lang w:val="en-US"/>
        </w:rPr>
        <w:t>推进70个美丽乡村宜居村建设，完成雄州</w:t>
      </w:r>
      <w:r>
        <w:rPr>
          <w:rFonts w:hint="default" w:ascii="Times New Roman" w:hAnsi="Times New Roman" w:cs="Times New Roman"/>
          <w:kern w:val="0"/>
          <w:lang w:val="en-US" w:bidi="ar"/>
        </w:rPr>
        <w:t>祝夏、龙池悦来省级特色田园乡村综合评价。</w:t>
      </w:r>
      <w:r>
        <w:rPr>
          <w:rFonts w:hint="default" w:ascii="Times New Roman" w:hAnsi="Times New Roman" w:cs="Times New Roman"/>
          <w:b/>
          <w:bCs/>
          <w:lang w:val="en-US" w:bidi="ar-SA"/>
        </w:rPr>
        <w:t>污染防治有力有效</w:t>
      </w:r>
      <w:r>
        <w:rPr>
          <w:rFonts w:hint="default" w:ascii="Times New Roman" w:hAnsi="Times New Roman" w:eastAsia="方正楷体简体" w:cs="Times New Roman"/>
          <w:b/>
          <w:bCs/>
          <w:lang w:val="en-US" w:bidi="ar-SA"/>
        </w:rPr>
        <w:t>。</w:t>
      </w:r>
      <w:r>
        <w:rPr>
          <w:rFonts w:hint="default" w:ascii="Times New Roman" w:hAnsi="Times New Roman" w:cs="Times New Roman"/>
          <w:lang w:val="en-US"/>
        </w:rPr>
        <w:t>持续推进长江经济带生态环境问题自查排查和“回头看”，增殖放流鱼苗516.2万尾；推进9家铸造企业治气提升，规范整治餐饮服务单位113家，空气质量优良率同比提高2.3个百分点；对102家涉磷企业进行排查整治，国省考断面及入江支流水质均达标；</w:t>
      </w:r>
      <w:r>
        <w:rPr>
          <w:rFonts w:hint="default" w:ascii="Times New Roman" w:hAnsi="Times New Roman" w:cs="Times New Roman"/>
        </w:rPr>
        <w:t>六合生活垃圾填埋场封场及生态修复工程超序实施。</w:t>
      </w:r>
      <w:r>
        <w:rPr>
          <w:rFonts w:hint="default" w:ascii="Times New Roman" w:hAnsi="Times New Roman" w:cs="Times New Roman"/>
          <w:b/>
          <w:bCs/>
          <w:lang w:val="en-US" w:bidi="ar-SA"/>
        </w:rPr>
        <w:t>绿色低碳有序有度</w:t>
      </w:r>
      <w:r>
        <w:rPr>
          <w:rFonts w:hint="default" w:ascii="Times New Roman" w:hAnsi="Times New Roman" w:eastAsia="方正楷体简体" w:cs="Times New Roman"/>
          <w:b/>
          <w:bCs/>
          <w:lang w:val="en-US" w:bidi="ar-SA"/>
        </w:rPr>
        <w:t>。</w:t>
      </w:r>
      <w:r>
        <w:rPr>
          <w:rFonts w:hint="default" w:ascii="Times New Roman" w:hAnsi="Times New Roman" w:cs="Times New Roman"/>
          <w:lang w:val="en-US"/>
        </w:rPr>
        <w:t>签约总投资约72亿元的整区新能源开发建设项目，构建以新能源为主导的清洁、高效、智慧的能源体系；整区屋顶分布式光伏试点累计新增12.7万千瓦，规划目标完成率达120%；推进工业企业节能降耗和绿色发展，指导7家企业申报省级绿色工厂；</w:t>
      </w:r>
      <w:r>
        <w:rPr>
          <w:rFonts w:hint="default" w:ascii="Times New Roman" w:hAnsi="Times New Roman" w:cs="Times New Roman"/>
          <w:lang w:val="en-US" w:bidi="ar-SA"/>
        </w:rPr>
        <w:t>新建绿色建筑71.7万平方米，城镇新建绿色建筑占新建建筑比例100%</w:t>
      </w:r>
      <w:r>
        <w:rPr>
          <w:rFonts w:hint="default" w:ascii="Times New Roman" w:hAnsi="Times New Roman" w:cs="Times New Roman"/>
          <w:lang w:val="en-US"/>
        </w:rPr>
        <w:t>；金牛湖省级“生态岛”试验区试点项目获批复。</w:t>
      </w:r>
    </w:p>
    <w:p w14:paraId="009C21CB">
      <w:pPr>
        <w:spacing w:line="550" w:lineRule="exact"/>
        <w:ind w:firstLine="643" w:firstLineChars="200"/>
        <w:rPr>
          <w:rFonts w:hint="default" w:ascii="Times New Roman" w:hAnsi="Times New Roman" w:eastAsia="方正仿宋简体" w:cs="Times New Roman"/>
          <w:b/>
          <w:bCs/>
          <w:sz w:val="32"/>
          <w:szCs w:val="32"/>
        </w:rPr>
      </w:pPr>
      <w:bookmarkStart w:id="4" w:name="_Hlk172034820"/>
      <w:r>
        <w:rPr>
          <w:rFonts w:hint="default" w:ascii="Times New Roman" w:hAnsi="Times New Roman" w:eastAsia="方正仿宋简体" w:cs="Times New Roman"/>
          <w:b/>
          <w:bCs/>
          <w:sz w:val="32"/>
          <w:szCs w:val="32"/>
        </w:rPr>
        <w:t>5.聚焦人民生活谋福祉，治理效能显著提升</w:t>
      </w:r>
      <w:bookmarkEnd w:id="4"/>
    </w:p>
    <w:p w14:paraId="02C387FA">
      <w:pPr>
        <w:spacing w:line="55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民生保障走深走实</w:t>
      </w:r>
      <w:r>
        <w:rPr>
          <w:rFonts w:hint="default" w:ascii="Times New Roman" w:hAnsi="Times New Roman" w:eastAsia="方正楷体简体" w:cs="Times New Roman"/>
          <w:b/>
          <w:bCs/>
          <w:sz w:val="32"/>
          <w:szCs w:val="32"/>
        </w:rPr>
        <w:t>。</w:t>
      </w:r>
      <w:r>
        <w:rPr>
          <w:rFonts w:hint="default" w:ascii="Times New Roman" w:hAnsi="Times New Roman" w:eastAsia="方正仿宋简体" w:cs="Times New Roman"/>
          <w:sz w:val="32"/>
          <w:szCs w:val="32"/>
        </w:rPr>
        <w:t>聚焦高校毕业生、农民工、退捕渔民等重点群体举办线上线下招聘活动，提供就业岗位3.2万余个次；企业职工基本养老保险、工伤保险参保人数均完成目标95%左右；实施富民强村工程，村集体经营性收入达2.16亿元，村均225.4万元、同比增长22.7%；关爱“一老一小”，新建雄州综合养老服务中心，每千人0-3岁婴幼儿</w:t>
      </w:r>
      <w:r>
        <w:rPr>
          <w:rFonts w:hint="default" w:ascii="Times New Roman" w:hAnsi="Times New Roman" w:eastAsia="方正仿宋简体" w:cs="Times New Roman"/>
          <w:kern w:val="21"/>
          <w:sz w:val="32"/>
          <w:szCs w:val="32"/>
        </w:rPr>
        <w:t>托位数达4.8个；按序推进针织厂B地块、朝天街2号4号地块安置房项目建设。</w:t>
      </w:r>
      <w:r>
        <w:rPr>
          <w:rFonts w:hint="default" w:ascii="Times New Roman" w:hAnsi="Times New Roman" w:eastAsia="方正仿宋简体" w:cs="Times New Roman"/>
          <w:b/>
          <w:bCs/>
          <w:sz w:val="32"/>
          <w:szCs w:val="32"/>
        </w:rPr>
        <w:t>公共服务扩面提质</w:t>
      </w:r>
      <w:r>
        <w:rPr>
          <w:rFonts w:hint="default" w:ascii="Times New Roman" w:hAnsi="Times New Roman" w:eastAsia="方正楷体简体" w:cs="Times New Roman"/>
          <w:b/>
          <w:bCs/>
          <w:sz w:val="32"/>
          <w:szCs w:val="32"/>
        </w:rPr>
        <w:t>。</w:t>
      </w:r>
      <w:r>
        <w:rPr>
          <w:rFonts w:hint="default" w:ascii="Times New Roman" w:hAnsi="Times New Roman" w:eastAsia="方正仿宋简体" w:cs="Times New Roman"/>
          <w:color w:val="000000" w:themeColor="text1"/>
          <w:kern w:val="0"/>
          <w:sz w:val="32"/>
          <w14:textFill>
            <w14:solidFill>
              <w14:schemeClr w14:val="tx1"/>
            </w14:solidFill>
          </w14:textFill>
        </w:rPr>
        <w:t>人民医院新建病房楼及医疗专项工程竣工验收，</w:t>
      </w:r>
      <w:r>
        <w:rPr>
          <w:rFonts w:hint="default" w:ascii="Times New Roman" w:hAnsi="Times New Roman" w:eastAsia="方正仿宋简体" w:cs="Times New Roman"/>
          <w:sz w:val="32"/>
          <w:szCs w:val="32"/>
        </w:rPr>
        <w:t>推进6家单位甲级卫生室或标准化卫生室创建；新增“</w:t>
      </w:r>
      <w:bookmarkStart w:id="5" w:name="_Hlk172194783"/>
      <w:r>
        <w:rPr>
          <w:rFonts w:hint="default" w:ascii="Times New Roman" w:hAnsi="Times New Roman" w:eastAsia="方正仿宋简体" w:cs="Times New Roman"/>
          <w:sz w:val="32"/>
          <w:szCs w:val="32"/>
        </w:rPr>
        <w:t>15分钟医保服务圈</w:t>
      </w:r>
      <w:bookmarkEnd w:id="5"/>
      <w:r>
        <w:rPr>
          <w:rFonts w:hint="default" w:ascii="Times New Roman" w:hAnsi="Times New Roman" w:eastAsia="方正仿宋简体" w:cs="Times New Roman"/>
          <w:sz w:val="32"/>
          <w:szCs w:val="32"/>
        </w:rPr>
        <w:t>”银行/商保延伸服务点4个、二级医疗机构服务点3个；复兴路初中、南师大附属六合实验学校建成投用，新增市级优质幼儿园1所；举办文化活动1570场次、服务人次增长218.7%；承办市级以上体育赛事4场，组织各类全民健身活动102场次。</w:t>
      </w:r>
      <w:r>
        <w:rPr>
          <w:rFonts w:hint="default" w:ascii="Times New Roman" w:hAnsi="Times New Roman" w:eastAsia="方正仿宋简体" w:cs="Times New Roman"/>
          <w:b/>
          <w:bCs/>
          <w:sz w:val="32"/>
          <w:szCs w:val="32"/>
        </w:rPr>
        <w:t>安全治理精准高效</w:t>
      </w:r>
      <w:r>
        <w:rPr>
          <w:rFonts w:hint="default" w:ascii="Times New Roman" w:hAnsi="Times New Roman" w:eastAsia="方正楷体简体" w:cs="Times New Roman"/>
          <w:b/>
          <w:bCs/>
          <w:sz w:val="32"/>
          <w:szCs w:val="32"/>
        </w:rPr>
        <w:t>。</w:t>
      </w:r>
      <w:r>
        <w:rPr>
          <w:rFonts w:hint="default" w:ascii="Times New Roman" w:hAnsi="Times New Roman" w:eastAsia="方正仿宋简体" w:cs="Times New Roman"/>
          <w:sz w:val="32"/>
          <w:szCs w:val="32"/>
        </w:rPr>
        <w:t>深入实施“精网微格”提升工程，推进“枫桥式派出所”“枫桥式人民法庭”品牌创建，累计调解矛盾纠纷5575起；深入开展安全生产“治本攻坚”三年行动和消防除患攻坚“1+4”专项整治，排查整改各类安全隐患9.1万条，</w:t>
      </w:r>
      <w:r>
        <w:rPr>
          <w:rFonts w:hint="default" w:ascii="Times New Roman" w:hAnsi="Times New Roman" w:eastAsia="方正仿宋简体" w:cs="Times New Roman"/>
          <w:color w:val="000000" w:themeColor="text1"/>
          <w:sz w:val="32"/>
          <w14:textFill>
            <w14:solidFill>
              <w14:schemeClr w14:val="tx1"/>
            </w14:solidFill>
          </w14:textFill>
        </w:rPr>
        <w:t>“应急—消防”一体化工作站完成能力提升，安全生产形势总体平稳</w:t>
      </w:r>
      <w:r>
        <w:rPr>
          <w:rFonts w:hint="default" w:ascii="Times New Roman" w:hAnsi="Times New Roman" w:eastAsia="方正仿宋简体" w:cs="Times New Roman"/>
          <w:sz w:val="32"/>
          <w:szCs w:val="32"/>
        </w:rPr>
        <w:t>；积极攻坚化解各类信访问题45件，获评省信访工作示范区；开展1.6万余家企业金融风险排查，</w:t>
      </w:r>
      <w:r>
        <w:rPr>
          <w:rFonts w:hint="default" w:ascii="Times New Roman" w:hAnsi="Times New Roman" w:eastAsia="方正仿宋简体" w:cs="Times New Roman"/>
          <w:color w:val="000000" w:themeColor="text1"/>
          <w:sz w:val="32"/>
          <w14:textFill>
            <w14:solidFill>
              <w14:schemeClr w14:val="tx1"/>
            </w14:solidFill>
          </w14:textFill>
        </w:rPr>
        <w:t>完成恒大保交楼</w:t>
      </w:r>
      <w:r>
        <w:rPr>
          <w:rFonts w:hint="default" w:ascii="Times New Roman" w:hAnsi="Times New Roman" w:eastAsia="方正仿宋简体" w:cs="Times New Roman"/>
          <w:color w:val="000000"/>
          <w:sz w:val="32"/>
        </w:rPr>
        <w:t>工作</w:t>
      </w:r>
      <w:r>
        <w:rPr>
          <w:rFonts w:hint="default" w:ascii="Times New Roman" w:hAnsi="Times New Roman" w:eastAsia="方正仿宋简体" w:cs="Times New Roman"/>
          <w:color w:val="000000" w:themeColor="text1"/>
          <w:sz w:val="32"/>
          <w14:textFill>
            <w14:solidFill>
              <w14:schemeClr w14:val="tx1"/>
            </w14:solidFill>
          </w14:textFill>
        </w:rPr>
        <w:t>，</w:t>
      </w:r>
      <w:r>
        <w:rPr>
          <w:rFonts w:hint="default" w:ascii="Times New Roman" w:hAnsi="Times New Roman" w:eastAsia="方正仿宋简体" w:cs="Times New Roman"/>
          <w:sz w:val="32"/>
          <w:szCs w:val="32"/>
        </w:rPr>
        <w:t>有效化解各类风险隐患，</w:t>
      </w:r>
      <w:r>
        <w:rPr>
          <w:rFonts w:hint="default" w:ascii="Times New Roman" w:hAnsi="Times New Roman" w:eastAsia="方正仿宋简体" w:cs="Times New Roman"/>
          <w:color w:val="000000" w:themeColor="text1"/>
          <w:sz w:val="32"/>
          <w14:textFill>
            <w14:solidFill>
              <w14:schemeClr w14:val="tx1"/>
            </w14:solidFill>
          </w14:textFill>
        </w:rPr>
        <w:t>刑事发案、交通事故起数分别下降39.1%、21.9%，群众安全感满意度、网格知晓率满意率等均位居全市前列</w:t>
      </w:r>
      <w:r>
        <w:rPr>
          <w:rFonts w:hint="default" w:ascii="Times New Roman" w:hAnsi="Times New Roman" w:eastAsia="方正仿宋简体" w:cs="Times New Roman"/>
          <w:sz w:val="32"/>
          <w:szCs w:val="32"/>
        </w:rPr>
        <w:t>。</w:t>
      </w:r>
    </w:p>
    <w:p w14:paraId="3A4ABDF8">
      <w:pPr>
        <w:pStyle w:val="6"/>
        <w:spacing w:line="550" w:lineRule="exact"/>
        <w:ind w:firstLine="640" w:firstLineChars="200"/>
        <w:rPr>
          <w:rFonts w:hint="default" w:ascii="Times New Roman" w:hAnsi="Times New Roman" w:cs="Times New Roman"/>
        </w:rPr>
      </w:pPr>
      <w:r>
        <w:rPr>
          <w:rFonts w:hint="default" w:ascii="Times New Roman" w:hAnsi="Times New Roman" w:cs="Times New Roman"/>
        </w:rPr>
        <w:t>上半年，面对复杂严峻的内外形势，全区上下迎难而上、真抓实干，经济社会发展取得了较好成绩。在肯定成绩的同时，</w:t>
      </w:r>
      <w:r>
        <w:rPr>
          <w:rFonts w:hint="default" w:ascii="Times New Roman" w:hAnsi="Times New Roman" w:eastAsia="方正仿宋_GBK" w:cs="Times New Roman"/>
        </w:rPr>
        <w:t>我们也清醒认识到，</w:t>
      </w:r>
      <w:r>
        <w:rPr>
          <w:rFonts w:hint="default" w:ascii="Times New Roman" w:hAnsi="Times New Roman" w:cs="Times New Roman"/>
        </w:rPr>
        <w:t>全区经济体量较小，</w:t>
      </w:r>
      <w:r>
        <w:rPr>
          <w:rFonts w:hint="default" w:ascii="Times New Roman" w:hAnsi="Times New Roman" w:cs="Times New Roman"/>
          <w:lang w:val="en-US"/>
        </w:rPr>
        <w:t>产业链条不够齐全，科技创新和数智化水平有待提高，</w:t>
      </w:r>
      <w:r>
        <w:rPr>
          <w:rFonts w:hint="default" w:ascii="Times New Roman" w:hAnsi="Times New Roman" w:cs="Times New Roman"/>
        </w:rPr>
        <w:t>城乡功能品质还需进一步优化，优质公共服务供给与群众期待相比仍有一定差距。</w:t>
      </w:r>
      <w:r>
        <w:rPr>
          <w:rFonts w:hint="default" w:ascii="Times New Roman" w:hAnsi="Times New Roman" w:eastAsia="方正仿宋_GBK" w:cs="Times New Roman"/>
        </w:rPr>
        <w:t>针对这些问题，我们将采取有效措施、积极加以解决、回应群众关切。</w:t>
      </w:r>
    </w:p>
    <w:p w14:paraId="2CE3FA34">
      <w:pPr>
        <w:spacing w:line="550" w:lineRule="exact"/>
        <w:ind w:firstLine="640" w:firstLineChars="200"/>
        <w:rPr>
          <w:rFonts w:hint="default" w:ascii="Times New Roman" w:hAnsi="Times New Roman" w:eastAsia="方正黑体简体" w:cs="Times New Roman"/>
          <w:sz w:val="32"/>
          <w:szCs w:val="40"/>
        </w:rPr>
      </w:pPr>
      <w:r>
        <w:rPr>
          <w:rFonts w:hint="default" w:ascii="Times New Roman" w:hAnsi="Times New Roman" w:eastAsia="方正黑体简体" w:cs="Times New Roman"/>
          <w:sz w:val="32"/>
          <w:szCs w:val="40"/>
        </w:rPr>
        <w:t>二、下半年工作打算</w:t>
      </w:r>
    </w:p>
    <w:p w14:paraId="410273CF">
      <w:pPr>
        <w:spacing w:line="550" w:lineRule="exact"/>
        <w:ind w:firstLine="640" w:firstLineChars="200"/>
        <w:rPr>
          <w:rFonts w:hint="default" w:ascii="Times New Roman" w:hAnsi="Times New Roman" w:eastAsia="方正仿宋简体" w:cs="Times New Roman"/>
          <w:sz w:val="32"/>
          <w:szCs w:val="40"/>
        </w:rPr>
      </w:pPr>
      <w:r>
        <w:rPr>
          <w:rFonts w:hint="default" w:ascii="Times New Roman" w:hAnsi="Times New Roman" w:eastAsia="方正仿宋简体" w:cs="Times New Roman"/>
          <w:sz w:val="32"/>
          <w:szCs w:val="40"/>
        </w:rPr>
        <w:t>我们将深入学习贯彻党的二十大和二十届二中、三中全会精神，全面落实习近平总书记参加十四届全国人大二次会议江苏代表团审议时的重要讲话精神，以经济发展提速增效行动为抓手，深入开展“十五五”规划前期研究，扎实推进各项工作任务，确保经济发展稳中有进，以优异成绩迎接新中国成立75周年。</w:t>
      </w:r>
    </w:p>
    <w:p w14:paraId="1621A84A">
      <w:pPr>
        <w:spacing w:line="550" w:lineRule="exact"/>
        <w:ind w:firstLine="640" w:firstLineChars="200"/>
        <w:rPr>
          <w:rFonts w:hint="default" w:ascii="Times New Roman" w:hAnsi="Times New Roman" w:eastAsia="方正仿宋简体" w:cs="Times New Roman"/>
          <w:sz w:val="32"/>
          <w:szCs w:val="40"/>
        </w:rPr>
      </w:pPr>
      <w:r>
        <w:rPr>
          <w:rFonts w:hint="default" w:ascii="Times New Roman" w:hAnsi="Times New Roman" w:eastAsia="方正楷体简体" w:cs="Times New Roman"/>
          <w:sz w:val="32"/>
          <w:szCs w:val="40"/>
        </w:rPr>
        <w:t>一是聚焦年度目标，在高质量发展上再进位</w:t>
      </w:r>
      <w:r>
        <w:rPr>
          <w:rFonts w:hint="default" w:ascii="Times New Roman" w:hAnsi="Times New Roman" w:eastAsia="方正仿宋简体" w:cs="Times New Roman"/>
          <w:sz w:val="32"/>
          <w:szCs w:val="40"/>
        </w:rPr>
        <w:t>。深入落实国家、省、市各项稳增长、促发展政策，用好“1+1+10”经济提速增效工作机制，持续做好经济运行监测分析，</w:t>
      </w:r>
      <w:r>
        <w:rPr>
          <w:rFonts w:hint="default" w:ascii="Times New Roman" w:hAnsi="Times New Roman" w:eastAsia="方正仿宋简体" w:cs="Times New Roman"/>
          <w:sz w:val="32"/>
          <w:szCs w:val="32"/>
        </w:rPr>
        <w:t>密切关注一般公共预算收入、固定资产投资等薄弱指标，实时跟踪重点企业生产经营情况，最大限度帮助企业解决实际困难，想方设法补齐经济发展短板弱项，确保高质量完成全年计划目标。全力以赴准备市对区高质量发展考核，紧盯经济、城建、生态、民生等各领域短板弱项，找准差距不足，专题研讨、逐项调度，争分夺秒弥补缺口、赶上进度，确保年底考核取得最好成绩。</w:t>
      </w:r>
    </w:p>
    <w:p w14:paraId="030D0DC1">
      <w:pPr>
        <w:spacing w:line="55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40"/>
        </w:rPr>
        <w:t>二是聚焦创新引领，在产业质效上再提升</w:t>
      </w:r>
      <w:r>
        <w:rPr>
          <w:rFonts w:hint="default" w:ascii="Times New Roman" w:hAnsi="Times New Roman" w:eastAsia="方正仿宋简体" w:cs="Times New Roman"/>
          <w:sz w:val="32"/>
          <w:szCs w:val="40"/>
        </w:rPr>
        <w:t>。充分发挥产业科技创新港引领作用，加快打造501科创产业带，全面优化创新创业环境，</w:t>
      </w:r>
      <w:r>
        <w:rPr>
          <w:rFonts w:hint="default" w:ascii="Times New Roman" w:hAnsi="Times New Roman" w:eastAsia="方正仿宋简体" w:cs="Times New Roman"/>
          <w:sz w:val="32"/>
          <w:szCs w:val="32"/>
        </w:rPr>
        <w:t>促进“大学+产业+园区”融合发展，</w:t>
      </w:r>
      <w:r>
        <w:rPr>
          <w:rFonts w:hint="default" w:ascii="Times New Roman" w:hAnsi="Times New Roman" w:eastAsia="方正仿宋简体" w:cs="Times New Roman"/>
          <w:sz w:val="32"/>
          <w:szCs w:val="40"/>
        </w:rPr>
        <w:t>争取更多科研平台、产业化项目落地见效。</w:t>
      </w:r>
      <w:r>
        <w:rPr>
          <w:rFonts w:hint="default" w:ascii="Times New Roman" w:hAnsi="Times New Roman" w:eastAsia="方正仿宋简体" w:cs="Times New Roman"/>
          <w:sz w:val="32"/>
          <w:szCs w:val="32"/>
        </w:rPr>
        <w:t>扎实推进产业强区建设，加快构建“3+1”先进制造业集群，持续推动强链补链延链</w:t>
      </w:r>
      <w:r>
        <w:rPr>
          <w:rFonts w:hint="default" w:ascii="Times New Roman" w:hAnsi="Times New Roman" w:eastAsia="方正仿宋简体" w:cs="Times New Roman"/>
          <w:spacing w:val="-6"/>
          <w:sz w:val="32"/>
          <w:szCs w:val="32"/>
        </w:rPr>
        <w:t>，确保全年</w:t>
      </w:r>
      <w:r>
        <w:rPr>
          <w:rFonts w:hint="default" w:ascii="Times New Roman" w:hAnsi="Times New Roman" w:eastAsia="方正仿宋简体" w:cs="Times New Roman"/>
          <w:sz w:val="32"/>
          <w:szCs w:val="32"/>
        </w:rPr>
        <w:t>规上工业总产值增长10%以上。抓住用好大规模设备更新、消费品以旧换新、资源循环利用等政策机遇，深入实施“技改强企升级”行动，加速促进数智化新技术新应用赋能产业发展，着力提高全要素生产率，为经济高质量发展注入新的活力。</w:t>
      </w:r>
    </w:p>
    <w:p w14:paraId="3B7A2952">
      <w:pPr>
        <w:spacing w:line="55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40"/>
        </w:rPr>
        <w:t>三是聚焦实体经济，在发展后劲上再增强</w:t>
      </w:r>
      <w:r>
        <w:rPr>
          <w:rFonts w:hint="default" w:ascii="Times New Roman" w:hAnsi="Times New Roman" w:eastAsia="方正仿宋简体" w:cs="Times New Roman"/>
          <w:sz w:val="32"/>
          <w:szCs w:val="40"/>
        </w:rPr>
        <w:t>。坚持将招商引资作为培育新增长点的关键一招，深入推进与中国商飞、中国通用、国轩等重点企业合作，加快在手在谈项目进程，确保项目早日落地见效。全力推进市区两级重大项目建设，</w:t>
      </w:r>
      <w:r>
        <w:rPr>
          <w:rFonts w:hint="default" w:ascii="Times New Roman" w:hAnsi="Times New Roman" w:eastAsia="方正仿宋简体" w:cs="Times New Roman"/>
          <w:sz w:val="32"/>
          <w:szCs w:val="32"/>
        </w:rPr>
        <w:t>落实难题会办机制，加速项目建设进度，争取超计划完成年度投资任务。</w:t>
      </w:r>
      <w:r>
        <w:rPr>
          <w:rFonts w:hint="default" w:ascii="Times New Roman" w:hAnsi="Times New Roman" w:eastAsia="方正仿宋简体" w:cs="Times New Roman"/>
          <w:sz w:val="32"/>
          <w:szCs w:val="40"/>
        </w:rPr>
        <w:t>切实做好项目谋划储备工作，为新一轮超长期特别国债、专项债申报做足准备。积极引进高质量品牌首店，围绕节庆假日和消费旺季，精心组织各类促销活动，培育打造更多网红打卡地</w:t>
      </w:r>
      <w:r>
        <w:rPr>
          <w:rFonts w:hint="default" w:ascii="Times New Roman" w:hAnsi="Times New Roman" w:eastAsia="方正仿宋简体" w:cs="Times New Roman"/>
          <w:sz w:val="32"/>
          <w:szCs w:val="32"/>
        </w:rPr>
        <w:t>；加快完善旅游要素配置，重点打造文旅新消费集聚区，开发“夜游”新模式，不断丰富文旅产品供给，全面释放消费潜力。</w:t>
      </w:r>
    </w:p>
    <w:p w14:paraId="43BCAFE1">
      <w:pPr>
        <w:spacing w:line="55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40"/>
        </w:rPr>
        <w:t>四是聚焦改革开放，在关键环节上再突破</w:t>
      </w:r>
      <w:r>
        <w:rPr>
          <w:rFonts w:hint="default" w:ascii="Times New Roman" w:hAnsi="Times New Roman" w:eastAsia="方正仿宋简体" w:cs="Times New Roman"/>
          <w:sz w:val="32"/>
          <w:szCs w:val="40"/>
        </w:rPr>
        <w:t>。贯彻落实二十届三中全会精神，抓好重点领域、重点环节改革，加速释放六合高质量发展潜力活力。全面落实促进民营经济发展壮大相关措施，最大限度支持民营企业发展。不断</w:t>
      </w:r>
      <w:r>
        <w:rPr>
          <w:rFonts w:hint="default" w:ascii="Times New Roman" w:hAnsi="Times New Roman" w:eastAsia="方正仿宋简体" w:cs="Times New Roman"/>
          <w:sz w:val="32"/>
          <w:szCs w:val="32"/>
        </w:rPr>
        <w:t>提升“一站式”服务能力，健全产业项目帮代办服务体系，推进服务模式由“面对面”到“肩并肩”转变。深入实施国企改革深化提升行动，优化调整国有资本布局结构，提升国有资本配置效率。加快推进国家农业绿色发展先行区、全国农业社会化服务创新试点县等试点示范项目建设。持续扩大高水平对外开放，积极融入“一带一路”、长江经济带、长三角一体化等重大发展战略，</w:t>
      </w:r>
      <w:r>
        <w:rPr>
          <w:rFonts w:hint="default" w:ascii="Times New Roman" w:hAnsi="Times New Roman" w:eastAsia="方正仿宋简体" w:cs="Times New Roman"/>
          <w:sz w:val="32"/>
        </w:rPr>
        <w:t>推动与江北新区、自贸区联动创新发展</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rPr>
        <w:t>积极承接创新成果转移转化，促进区域协同发展、优势互补</w:t>
      </w:r>
      <w:r>
        <w:rPr>
          <w:rFonts w:hint="default" w:ascii="Times New Roman" w:hAnsi="Times New Roman" w:eastAsia="方正仿宋简体" w:cs="Times New Roman"/>
          <w:sz w:val="32"/>
          <w:szCs w:val="32"/>
        </w:rPr>
        <w:t>。</w:t>
      </w:r>
    </w:p>
    <w:p w14:paraId="38B41FEF">
      <w:pPr>
        <w:spacing w:line="55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40"/>
        </w:rPr>
        <w:t>五是聚焦城乡建设，在人居环境上再优化</w:t>
      </w:r>
      <w:r>
        <w:rPr>
          <w:rFonts w:hint="default" w:ascii="Times New Roman" w:hAnsi="Times New Roman" w:eastAsia="方正仿宋简体" w:cs="Times New Roman"/>
          <w:sz w:val="32"/>
          <w:szCs w:val="40"/>
        </w:rPr>
        <w:t>。</w:t>
      </w:r>
      <w:r>
        <w:rPr>
          <w:rFonts w:hint="default" w:ascii="Times New Roman" w:hAnsi="Times New Roman" w:eastAsia="方正仿宋简体" w:cs="Times New Roman"/>
          <w:sz w:val="32"/>
          <w:szCs w:val="32"/>
        </w:rPr>
        <w:t>积极做好宁淮城际铁路、北沿江高铁、宁盐高速、宁滁高速等重点项目地方配套工作，加快422省道等干线公路建设。推进龙袍新城丰北变电站、污水处理厂、安置房及配套中小学等项目建设，完成方州广场绿化工程。稳步推进“平急两用”公共基础设施建设和城中村改造，完成新增停车泊位、老旧供水管网改造等年度目标任务。升级改造市容街景，精细化整治提升14条背街小巷，打造2条“一街一景观”“一街一特色”精品街巷。坚决打好污染防治攻坚战，着力推进大气、土壤、塑料、固废等各类污染治理，努力提升生态污染防治能力。积极谋划整区双碳实施路径，加快推进循环经济产业园建设，争取国家级“整区屋顶分布式光伏开发示范县（市、区）”挂牌，争创省级“双碳”试点。</w:t>
      </w:r>
    </w:p>
    <w:p w14:paraId="7BA9DF1E">
      <w:pPr>
        <w:spacing w:line="55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40"/>
        </w:rPr>
        <w:t>六是聚焦民生福祉，在富民惠民上再发力</w:t>
      </w:r>
      <w:r>
        <w:rPr>
          <w:rFonts w:hint="default" w:ascii="Times New Roman" w:hAnsi="Times New Roman" w:eastAsia="方正仿宋简体" w:cs="Times New Roman"/>
          <w:sz w:val="32"/>
          <w:szCs w:val="40"/>
        </w:rPr>
        <w:t>。扎实推进九大类37项民生实事，全方位做好稳就业工作，确保全年新增城镇就业7300人。</w:t>
      </w:r>
      <w:r>
        <w:rPr>
          <w:rFonts w:hint="default" w:ascii="Times New Roman" w:hAnsi="Times New Roman" w:eastAsia="方正仿宋简体" w:cs="Times New Roman"/>
          <w:sz w:val="32"/>
          <w:szCs w:val="32"/>
        </w:rPr>
        <w:t>推动区人民医院三级乙等医院创建、区中医院三级中医院转设，加快</w:t>
      </w:r>
      <w:r>
        <w:rPr>
          <w:rFonts w:hint="default" w:ascii="Times New Roman" w:hAnsi="Times New Roman" w:eastAsia="方正仿宋简体" w:cs="Times New Roman"/>
          <w:kern w:val="0"/>
          <w:sz w:val="32"/>
          <w:szCs w:val="32"/>
          <w:lang w:bidi="ar"/>
        </w:rPr>
        <w:t>社区卫生服务中心四级中医馆</w:t>
      </w:r>
      <w:r>
        <w:rPr>
          <w:rFonts w:hint="default" w:ascii="Times New Roman" w:hAnsi="Times New Roman" w:eastAsia="方正仿宋简体" w:cs="Times New Roman"/>
          <w:sz w:val="32"/>
          <w:szCs w:val="32"/>
        </w:rPr>
        <w:t>建设。</w:t>
      </w:r>
      <w:r>
        <w:rPr>
          <w:rFonts w:hint="default" w:ascii="Times New Roman" w:hAnsi="Times New Roman" w:eastAsia="方正仿宋简体" w:cs="Times New Roman"/>
          <w:sz w:val="32"/>
          <w:szCs w:val="40"/>
        </w:rPr>
        <w:t>新增省、市优质幼儿园各1所，争取创成</w:t>
      </w:r>
      <w:r>
        <w:rPr>
          <w:rFonts w:hint="default" w:ascii="Times New Roman" w:hAnsi="Times New Roman" w:eastAsia="方正仿宋简体" w:cs="Times New Roman"/>
          <w:sz w:val="32"/>
          <w:szCs w:val="32"/>
        </w:rPr>
        <w:t>省</w:t>
      </w:r>
      <w:r>
        <w:rPr>
          <w:rFonts w:hint="default" w:ascii="Times New Roman" w:hAnsi="Times New Roman" w:eastAsia="方正仿宋简体" w:cs="Times New Roman"/>
          <w:sz w:val="32"/>
          <w:szCs w:val="40"/>
        </w:rPr>
        <w:t>义务教育优质均衡发展区。</w:t>
      </w:r>
      <w:r>
        <w:rPr>
          <w:rFonts w:hint="default" w:ascii="Times New Roman" w:hAnsi="Times New Roman" w:eastAsia="方正仿宋简体" w:cs="Times New Roman"/>
          <w:sz w:val="32"/>
          <w:szCs w:val="32"/>
        </w:rPr>
        <w:t>深化“1+9”矛盾纠纷多元化解体系，推进“一站式”矛盾调解中心建设，开展教育、金融放贷、市场流通三大行业领域整治活动，全面提升人民群众对平安建设的知晓率、参与率。从严从实推进“治本攻坚”三年行动，推动安全生产风险专项整治持续向纵深发展。</w:t>
      </w:r>
      <w:r>
        <w:rPr>
          <w:rFonts w:hint="default" w:ascii="Times New Roman" w:hAnsi="Times New Roman" w:eastAsia="方正仿宋简体" w:cs="Times New Roman"/>
          <w:sz w:val="32"/>
          <w:szCs w:val="40"/>
        </w:rPr>
        <w:t>统筹抓好房地产、非法集资等领域风险防范化解，推动问题早发现、早处置、早解决。</w:t>
      </w:r>
    </w:p>
    <w:sectPr>
      <w:footerReference r:id="rId3" w:type="default"/>
      <w:pgSz w:w="11906" w:h="16838"/>
      <w:pgMar w:top="2098" w:right="1474" w:bottom="1985" w:left="1588" w:header="851" w:footer="1417"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8189056"/>
    </w:sdtPr>
    <w:sdtEndPr>
      <w:rPr>
        <w:rFonts w:ascii="Times New Roman" w:hAnsi="Times New Roman" w:cs="Times New Roman"/>
        <w:sz w:val="28"/>
        <w:szCs w:val="28"/>
      </w:rPr>
    </w:sdtEndPr>
    <w:sdtContent>
      <w:p w14:paraId="20C83F20">
        <w:pPr>
          <w:pStyle w:val="8"/>
          <w:jc w:val="cente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ascii="Times New Roman" w:hAnsi="Times New Roman" w:cs="Times New Roman"/>
            <w:sz w:val="28"/>
            <w:szCs w:val="28"/>
          </w:rPr>
          <w:t>—</w:t>
        </w:r>
      </w:p>
    </w:sdtContent>
  </w:sdt>
  <w:p w14:paraId="7704EC2E">
    <w:pPr>
      <w:pStyle w:val="8"/>
      <w:tabs>
        <w:tab w:val="left" w:pos="5400"/>
        <w:tab w:val="clear" w:pos="4153"/>
        <w:tab w:val="clear" w:pos="8306"/>
      </w:tabs>
    </w:pP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2OTRjMjE0OGM1Mjc0YzQxYTQ4M2JmNzIzZjAyYTMifQ=="/>
  </w:docVars>
  <w:rsids>
    <w:rsidRoot w:val="00051AA5"/>
    <w:rsid w:val="00007520"/>
    <w:rsid w:val="000109E0"/>
    <w:rsid w:val="000126B4"/>
    <w:rsid w:val="000129F5"/>
    <w:rsid w:val="00012CAC"/>
    <w:rsid w:val="00014A7A"/>
    <w:rsid w:val="0002568A"/>
    <w:rsid w:val="000460EE"/>
    <w:rsid w:val="00051AA5"/>
    <w:rsid w:val="00057D00"/>
    <w:rsid w:val="00072DFD"/>
    <w:rsid w:val="00073211"/>
    <w:rsid w:val="00090145"/>
    <w:rsid w:val="00097E00"/>
    <w:rsid w:val="000A3300"/>
    <w:rsid w:val="000A43EA"/>
    <w:rsid w:val="000B0EC1"/>
    <w:rsid w:val="000B27BD"/>
    <w:rsid w:val="000B567B"/>
    <w:rsid w:val="000E0586"/>
    <w:rsid w:val="000E32A4"/>
    <w:rsid w:val="000F6065"/>
    <w:rsid w:val="000F7F30"/>
    <w:rsid w:val="00100D07"/>
    <w:rsid w:val="00113E6C"/>
    <w:rsid w:val="00124FA6"/>
    <w:rsid w:val="00130B28"/>
    <w:rsid w:val="00134024"/>
    <w:rsid w:val="0013522D"/>
    <w:rsid w:val="001448AF"/>
    <w:rsid w:val="00146A2B"/>
    <w:rsid w:val="001554C3"/>
    <w:rsid w:val="00156B3D"/>
    <w:rsid w:val="001578A0"/>
    <w:rsid w:val="00166657"/>
    <w:rsid w:val="00166892"/>
    <w:rsid w:val="00175B24"/>
    <w:rsid w:val="00175FC0"/>
    <w:rsid w:val="00176CFF"/>
    <w:rsid w:val="0017777B"/>
    <w:rsid w:val="00180491"/>
    <w:rsid w:val="001870EA"/>
    <w:rsid w:val="00195434"/>
    <w:rsid w:val="001A28E0"/>
    <w:rsid w:val="001A52AB"/>
    <w:rsid w:val="001B4A4F"/>
    <w:rsid w:val="001C193E"/>
    <w:rsid w:val="001C5E30"/>
    <w:rsid w:val="001C63F1"/>
    <w:rsid w:val="001D4B55"/>
    <w:rsid w:val="001D6243"/>
    <w:rsid w:val="001D6F65"/>
    <w:rsid w:val="001E2F39"/>
    <w:rsid w:val="00201D49"/>
    <w:rsid w:val="00201E04"/>
    <w:rsid w:val="002116CE"/>
    <w:rsid w:val="002171EB"/>
    <w:rsid w:val="00226886"/>
    <w:rsid w:val="00227696"/>
    <w:rsid w:val="00230674"/>
    <w:rsid w:val="00232F4C"/>
    <w:rsid w:val="002403C1"/>
    <w:rsid w:val="00251459"/>
    <w:rsid w:val="00253A5B"/>
    <w:rsid w:val="002565C0"/>
    <w:rsid w:val="0026036F"/>
    <w:rsid w:val="0026296D"/>
    <w:rsid w:val="00266D6F"/>
    <w:rsid w:val="00281D1C"/>
    <w:rsid w:val="00285E14"/>
    <w:rsid w:val="00297430"/>
    <w:rsid w:val="002B0082"/>
    <w:rsid w:val="002B532F"/>
    <w:rsid w:val="002B5AA5"/>
    <w:rsid w:val="002B6FF6"/>
    <w:rsid w:val="002B74FA"/>
    <w:rsid w:val="002C5A4A"/>
    <w:rsid w:val="002D0771"/>
    <w:rsid w:val="002D5742"/>
    <w:rsid w:val="002E3444"/>
    <w:rsid w:val="002E3B42"/>
    <w:rsid w:val="002E422D"/>
    <w:rsid w:val="002E5CEC"/>
    <w:rsid w:val="002F0785"/>
    <w:rsid w:val="002F2593"/>
    <w:rsid w:val="00300CE1"/>
    <w:rsid w:val="003057CB"/>
    <w:rsid w:val="00341769"/>
    <w:rsid w:val="00343D02"/>
    <w:rsid w:val="00345A92"/>
    <w:rsid w:val="00350312"/>
    <w:rsid w:val="00357EA9"/>
    <w:rsid w:val="0036387D"/>
    <w:rsid w:val="00364536"/>
    <w:rsid w:val="00377105"/>
    <w:rsid w:val="003816E8"/>
    <w:rsid w:val="00392F3B"/>
    <w:rsid w:val="00396588"/>
    <w:rsid w:val="003A0434"/>
    <w:rsid w:val="003A23FA"/>
    <w:rsid w:val="003B5CC0"/>
    <w:rsid w:val="003E3210"/>
    <w:rsid w:val="00400490"/>
    <w:rsid w:val="00405329"/>
    <w:rsid w:val="00406D06"/>
    <w:rsid w:val="00410BD2"/>
    <w:rsid w:val="00413AF4"/>
    <w:rsid w:val="00414561"/>
    <w:rsid w:val="00416AAD"/>
    <w:rsid w:val="00423D03"/>
    <w:rsid w:val="00426A0D"/>
    <w:rsid w:val="00435578"/>
    <w:rsid w:val="00441567"/>
    <w:rsid w:val="004616D4"/>
    <w:rsid w:val="004617B0"/>
    <w:rsid w:val="00464482"/>
    <w:rsid w:val="00470F9E"/>
    <w:rsid w:val="004753F4"/>
    <w:rsid w:val="00476A70"/>
    <w:rsid w:val="00483922"/>
    <w:rsid w:val="00486CCE"/>
    <w:rsid w:val="004A05DE"/>
    <w:rsid w:val="004A4258"/>
    <w:rsid w:val="004A7DCF"/>
    <w:rsid w:val="004B0751"/>
    <w:rsid w:val="004C347E"/>
    <w:rsid w:val="004C51C6"/>
    <w:rsid w:val="004C5681"/>
    <w:rsid w:val="004C61D2"/>
    <w:rsid w:val="004D23D8"/>
    <w:rsid w:val="004E4770"/>
    <w:rsid w:val="004E6D2F"/>
    <w:rsid w:val="004F3553"/>
    <w:rsid w:val="004F421D"/>
    <w:rsid w:val="00501A64"/>
    <w:rsid w:val="005146E9"/>
    <w:rsid w:val="005342B1"/>
    <w:rsid w:val="00540129"/>
    <w:rsid w:val="00547861"/>
    <w:rsid w:val="00556C77"/>
    <w:rsid w:val="00571393"/>
    <w:rsid w:val="0058572B"/>
    <w:rsid w:val="00593EF6"/>
    <w:rsid w:val="0059635C"/>
    <w:rsid w:val="005A1013"/>
    <w:rsid w:val="005A4733"/>
    <w:rsid w:val="005A516E"/>
    <w:rsid w:val="005B280E"/>
    <w:rsid w:val="005C66C9"/>
    <w:rsid w:val="005D3766"/>
    <w:rsid w:val="005D3B1B"/>
    <w:rsid w:val="005E2369"/>
    <w:rsid w:val="005F33F9"/>
    <w:rsid w:val="005F5451"/>
    <w:rsid w:val="006141D0"/>
    <w:rsid w:val="00616C99"/>
    <w:rsid w:val="0064321A"/>
    <w:rsid w:val="00643268"/>
    <w:rsid w:val="00645520"/>
    <w:rsid w:val="006536C2"/>
    <w:rsid w:val="00653C74"/>
    <w:rsid w:val="006608E8"/>
    <w:rsid w:val="006651A8"/>
    <w:rsid w:val="00674D3B"/>
    <w:rsid w:val="00675195"/>
    <w:rsid w:val="006771BA"/>
    <w:rsid w:val="00680367"/>
    <w:rsid w:val="00680E2D"/>
    <w:rsid w:val="00681D73"/>
    <w:rsid w:val="0069298A"/>
    <w:rsid w:val="006B7D66"/>
    <w:rsid w:val="006C7D53"/>
    <w:rsid w:val="006D2BF5"/>
    <w:rsid w:val="006F35F8"/>
    <w:rsid w:val="00704A1C"/>
    <w:rsid w:val="00717FEE"/>
    <w:rsid w:val="0072453C"/>
    <w:rsid w:val="00725ECF"/>
    <w:rsid w:val="00732BD8"/>
    <w:rsid w:val="00742D6E"/>
    <w:rsid w:val="00742EE7"/>
    <w:rsid w:val="007462D2"/>
    <w:rsid w:val="00764897"/>
    <w:rsid w:val="00766C59"/>
    <w:rsid w:val="00795AF3"/>
    <w:rsid w:val="007C7610"/>
    <w:rsid w:val="007C79B8"/>
    <w:rsid w:val="007E1E1C"/>
    <w:rsid w:val="007E3224"/>
    <w:rsid w:val="007E64A0"/>
    <w:rsid w:val="007F6FE2"/>
    <w:rsid w:val="008016B8"/>
    <w:rsid w:val="00804EEA"/>
    <w:rsid w:val="00805211"/>
    <w:rsid w:val="00811581"/>
    <w:rsid w:val="00817BC9"/>
    <w:rsid w:val="008401B7"/>
    <w:rsid w:val="00843D3E"/>
    <w:rsid w:val="00847F87"/>
    <w:rsid w:val="008603A1"/>
    <w:rsid w:val="00874211"/>
    <w:rsid w:val="00875480"/>
    <w:rsid w:val="00875A0B"/>
    <w:rsid w:val="0087791D"/>
    <w:rsid w:val="00882F25"/>
    <w:rsid w:val="00886FE4"/>
    <w:rsid w:val="008905A7"/>
    <w:rsid w:val="008A0AA8"/>
    <w:rsid w:val="008A34F6"/>
    <w:rsid w:val="008A7E45"/>
    <w:rsid w:val="008B0143"/>
    <w:rsid w:val="008B05F9"/>
    <w:rsid w:val="008B13A1"/>
    <w:rsid w:val="008B45CD"/>
    <w:rsid w:val="008C73CB"/>
    <w:rsid w:val="008D1232"/>
    <w:rsid w:val="008E4EA0"/>
    <w:rsid w:val="008F44CB"/>
    <w:rsid w:val="0090412D"/>
    <w:rsid w:val="00912B2F"/>
    <w:rsid w:val="009206B0"/>
    <w:rsid w:val="00923A15"/>
    <w:rsid w:val="0092592A"/>
    <w:rsid w:val="00931F4C"/>
    <w:rsid w:val="0093406E"/>
    <w:rsid w:val="00943988"/>
    <w:rsid w:val="00947977"/>
    <w:rsid w:val="00954E11"/>
    <w:rsid w:val="00960183"/>
    <w:rsid w:val="00961505"/>
    <w:rsid w:val="00961B82"/>
    <w:rsid w:val="00971091"/>
    <w:rsid w:val="00981C9B"/>
    <w:rsid w:val="00993A08"/>
    <w:rsid w:val="00995A9D"/>
    <w:rsid w:val="009A0795"/>
    <w:rsid w:val="009A36A6"/>
    <w:rsid w:val="009A49EE"/>
    <w:rsid w:val="009A6CE4"/>
    <w:rsid w:val="009B0765"/>
    <w:rsid w:val="009C2903"/>
    <w:rsid w:val="009D2EF9"/>
    <w:rsid w:val="009D3197"/>
    <w:rsid w:val="009E0420"/>
    <w:rsid w:val="009E08CD"/>
    <w:rsid w:val="009E29CC"/>
    <w:rsid w:val="009E2CC1"/>
    <w:rsid w:val="009E59A4"/>
    <w:rsid w:val="009F253C"/>
    <w:rsid w:val="00A02D2F"/>
    <w:rsid w:val="00A07E4B"/>
    <w:rsid w:val="00A21057"/>
    <w:rsid w:val="00A212E6"/>
    <w:rsid w:val="00A245EA"/>
    <w:rsid w:val="00A25C56"/>
    <w:rsid w:val="00A40548"/>
    <w:rsid w:val="00A70501"/>
    <w:rsid w:val="00A95E17"/>
    <w:rsid w:val="00A97657"/>
    <w:rsid w:val="00AA2525"/>
    <w:rsid w:val="00AC16D4"/>
    <w:rsid w:val="00AC46BF"/>
    <w:rsid w:val="00AD4D9A"/>
    <w:rsid w:val="00AE6ED4"/>
    <w:rsid w:val="00AF1C0D"/>
    <w:rsid w:val="00AF4460"/>
    <w:rsid w:val="00AF72AC"/>
    <w:rsid w:val="00B04A5D"/>
    <w:rsid w:val="00B07814"/>
    <w:rsid w:val="00B218F2"/>
    <w:rsid w:val="00B26C89"/>
    <w:rsid w:val="00B35DBB"/>
    <w:rsid w:val="00B37B34"/>
    <w:rsid w:val="00B423F0"/>
    <w:rsid w:val="00B45B64"/>
    <w:rsid w:val="00B519B2"/>
    <w:rsid w:val="00B56A89"/>
    <w:rsid w:val="00B608CE"/>
    <w:rsid w:val="00B85568"/>
    <w:rsid w:val="00B875F4"/>
    <w:rsid w:val="00B87B53"/>
    <w:rsid w:val="00BA15C9"/>
    <w:rsid w:val="00BB0270"/>
    <w:rsid w:val="00BD0192"/>
    <w:rsid w:val="00BD2C71"/>
    <w:rsid w:val="00BD4CA1"/>
    <w:rsid w:val="00BD6920"/>
    <w:rsid w:val="00BF091B"/>
    <w:rsid w:val="00C001B6"/>
    <w:rsid w:val="00C0081C"/>
    <w:rsid w:val="00C02CC2"/>
    <w:rsid w:val="00C0372D"/>
    <w:rsid w:val="00C119B4"/>
    <w:rsid w:val="00C11E8E"/>
    <w:rsid w:val="00C124A2"/>
    <w:rsid w:val="00C218CC"/>
    <w:rsid w:val="00C25150"/>
    <w:rsid w:val="00C461BC"/>
    <w:rsid w:val="00C50089"/>
    <w:rsid w:val="00C50A48"/>
    <w:rsid w:val="00C53525"/>
    <w:rsid w:val="00C616DD"/>
    <w:rsid w:val="00C660DF"/>
    <w:rsid w:val="00C84581"/>
    <w:rsid w:val="00C971C3"/>
    <w:rsid w:val="00CC127F"/>
    <w:rsid w:val="00CC270E"/>
    <w:rsid w:val="00CC513B"/>
    <w:rsid w:val="00CC5C41"/>
    <w:rsid w:val="00CC6666"/>
    <w:rsid w:val="00CD1502"/>
    <w:rsid w:val="00CD37D3"/>
    <w:rsid w:val="00CE740C"/>
    <w:rsid w:val="00CF47C2"/>
    <w:rsid w:val="00D04C08"/>
    <w:rsid w:val="00D13129"/>
    <w:rsid w:val="00D20615"/>
    <w:rsid w:val="00D4765B"/>
    <w:rsid w:val="00D61AD9"/>
    <w:rsid w:val="00D75AC1"/>
    <w:rsid w:val="00D77A45"/>
    <w:rsid w:val="00D8100A"/>
    <w:rsid w:val="00D94F75"/>
    <w:rsid w:val="00DA461D"/>
    <w:rsid w:val="00DA5D47"/>
    <w:rsid w:val="00DB0F32"/>
    <w:rsid w:val="00DB4795"/>
    <w:rsid w:val="00DC1020"/>
    <w:rsid w:val="00DC54E0"/>
    <w:rsid w:val="00DD2160"/>
    <w:rsid w:val="00DD3F38"/>
    <w:rsid w:val="00DD4AB2"/>
    <w:rsid w:val="00DE1160"/>
    <w:rsid w:val="00DE136F"/>
    <w:rsid w:val="00DF184B"/>
    <w:rsid w:val="00DF435F"/>
    <w:rsid w:val="00DF7785"/>
    <w:rsid w:val="00E048D1"/>
    <w:rsid w:val="00E05FD7"/>
    <w:rsid w:val="00E06054"/>
    <w:rsid w:val="00E2349B"/>
    <w:rsid w:val="00E3178E"/>
    <w:rsid w:val="00E41CB7"/>
    <w:rsid w:val="00E57072"/>
    <w:rsid w:val="00E609D1"/>
    <w:rsid w:val="00E670BC"/>
    <w:rsid w:val="00E71FE0"/>
    <w:rsid w:val="00E814C7"/>
    <w:rsid w:val="00E879E6"/>
    <w:rsid w:val="00EA1521"/>
    <w:rsid w:val="00EA31AB"/>
    <w:rsid w:val="00EA4300"/>
    <w:rsid w:val="00EB029D"/>
    <w:rsid w:val="00EB580C"/>
    <w:rsid w:val="00EB5C0A"/>
    <w:rsid w:val="00EC41C0"/>
    <w:rsid w:val="00ED0149"/>
    <w:rsid w:val="00ED1033"/>
    <w:rsid w:val="00ED1800"/>
    <w:rsid w:val="00EF2514"/>
    <w:rsid w:val="00F004EE"/>
    <w:rsid w:val="00F04E12"/>
    <w:rsid w:val="00F1204E"/>
    <w:rsid w:val="00F16933"/>
    <w:rsid w:val="00F25A28"/>
    <w:rsid w:val="00F41D9E"/>
    <w:rsid w:val="00F56DC3"/>
    <w:rsid w:val="00F56FF5"/>
    <w:rsid w:val="00F70687"/>
    <w:rsid w:val="00F72EFB"/>
    <w:rsid w:val="00F73DC2"/>
    <w:rsid w:val="00F74B36"/>
    <w:rsid w:val="00F822BF"/>
    <w:rsid w:val="00F846C5"/>
    <w:rsid w:val="00F9424F"/>
    <w:rsid w:val="00FA2608"/>
    <w:rsid w:val="00FB6012"/>
    <w:rsid w:val="00FB73AF"/>
    <w:rsid w:val="00FC05F5"/>
    <w:rsid w:val="00FC3292"/>
    <w:rsid w:val="00FC5FC4"/>
    <w:rsid w:val="00FD0F9C"/>
    <w:rsid w:val="00FF4EC2"/>
    <w:rsid w:val="00FF6056"/>
    <w:rsid w:val="00FF78A7"/>
    <w:rsid w:val="00FF7BFC"/>
    <w:rsid w:val="05815436"/>
    <w:rsid w:val="05C4785D"/>
    <w:rsid w:val="085157EE"/>
    <w:rsid w:val="138054ED"/>
    <w:rsid w:val="142179C9"/>
    <w:rsid w:val="161D46D5"/>
    <w:rsid w:val="1B285AE1"/>
    <w:rsid w:val="24027C37"/>
    <w:rsid w:val="24B80AEE"/>
    <w:rsid w:val="2D992708"/>
    <w:rsid w:val="33DD65DA"/>
    <w:rsid w:val="362818EF"/>
    <w:rsid w:val="364E48AB"/>
    <w:rsid w:val="37690C96"/>
    <w:rsid w:val="377A055D"/>
    <w:rsid w:val="37E14EFE"/>
    <w:rsid w:val="385073FB"/>
    <w:rsid w:val="3E573935"/>
    <w:rsid w:val="460348D1"/>
    <w:rsid w:val="480155F8"/>
    <w:rsid w:val="4A6D00F4"/>
    <w:rsid w:val="4F9619ED"/>
    <w:rsid w:val="4F9667B6"/>
    <w:rsid w:val="51404C2B"/>
    <w:rsid w:val="5755523C"/>
    <w:rsid w:val="58613E05"/>
    <w:rsid w:val="5D3D2D81"/>
    <w:rsid w:val="60743B78"/>
    <w:rsid w:val="742B6E35"/>
    <w:rsid w:val="7AAE2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Times New Roman"/>
      <w:b/>
      <w:bCs/>
      <w:kern w:val="44"/>
      <w:sz w:val="48"/>
      <w:szCs w:val="48"/>
    </w:rPr>
  </w:style>
  <w:style w:type="paragraph" w:styleId="4">
    <w:name w:val="heading 3"/>
    <w:basedOn w:val="1"/>
    <w:next w:val="1"/>
    <w:link w:val="17"/>
    <w:semiHidden/>
    <w:unhideWhenUsed/>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customStyle="1" w:styleId="2">
    <w:name w:val="Body Text First Indent 21"/>
    <w:basedOn w:val="1"/>
    <w:qFormat/>
    <w:uiPriority w:val="0"/>
    <w:pPr>
      <w:ind w:left="200" w:leftChars="200" w:firstLine="420"/>
    </w:pPr>
    <w:rPr>
      <w:rFonts w:ascii="仿宋_GB2312" w:eastAsia="仿宋_GB2312" w:cs="仿宋_GB2312"/>
      <w:szCs w:val="32"/>
    </w:rPr>
  </w:style>
  <w:style w:type="paragraph" w:styleId="5">
    <w:name w:val="Normal Indent"/>
    <w:basedOn w:val="1"/>
    <w:qFormat/>
    <w:uiPriority w:val="99"/>
    <w:pPr>
      <w:ind w:firstLine="420" w:firstLineChars="200"/>
    </w:pPr>
  </w:style>
  <w:style w:type="paragraph" w:styleId="6">
    <w:name w:val="Body Text"/>
    <w:basedOn w:val="1"/>
    <w:link w:val="18"/>
    <w:qFormat/>
    <w:uiPriority w:val="1"/>
    <w:rPr>
      <w:rFonts w:ascii="方正仿宋简体" w:hAnsi="方正仿宋简体" w:eastAsia="方正仿宋简体" w:cs="方正仿宋简体"/>
      <w:sz w:val="32"/>
      <w:szCs w:val="32"/>
      <w:lang w:val="zh-CN" w:bidi="zh-CN"/>
    </w:rPr>
  </w:style>
  <w:style w:type="paragraph" w:styleId="7">
    <w:name w:val="index 4"/>
    <w:basedOn w:val="1"/>
    <w:next w:val="1"/>
    <w:qFormat/>
    <w:uiPriority w:val="99"/>
    <w:pPr>
      <w:ind w:left="600" w:leftChars="600"/>
    </w:pPr>
  </w:style>
  <w:style w:type="paragraph" w:styleId="8">
    <w:name w:val="footer"/>
    <w:basedOn w:val="1"/>
    <w:link w:val="16"/>
    <w:qFormat/>
    <w:uiPriority w:val="99"/>
    <w:pPr>
      <w:tabs>
        <w:tab w:val="center" w:pos="4153"/>
        <w:tab w:val="right" w:pos="8306"/>
      </w:tabs>
      <w:snapToGrid w:val="0"/>
      <w:jc w:val="left"/>
    </w:pPr>
    <w:rPr>
      <w:sz w:val="18"/>
      <w:szCs w:val="18"/>
    </w:rPr>
  </w:style>
  <w:style w:type="paragraph" w:styleId="9">
    <w:name w:val="header"/>
    <w:basedOn w:val="1"/>
    <w:link w:val="15"/>
    <w:qFormat/>
    <w:uiPriority w:val="0"/>
    <w:pP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cs="Times New Roman"/>
      <w:kern w:val="0"/>
      <w:sz w:val="24"/>
    </w:rPr>
  </w:style>
  <w:style w:type="character" w:styleId="13">
    <w:name w:val="Strong"/>
    <w:basedOn w:val="12"/>
    <w:qFormat/>
    <w:uiPriority w:val="0"/>
    <w:rPr>
      <w:b/>
    </w:rPr>
  </w:style>
  <w:style w:type="character" w:customStyle="1" w:styleId="14">
    <w:name w:val="NormalCharacter"/>
    <w:qFormat/>
    <w:uiPriority w:val="0"/>
  </w:style>
  <w:style w:type="character" w:customStyle="1" w:styleId="15">
    <w:name w:val="页眉 字符"/>
    <w:basedOn w:val="12"/>
    <w:link w:val="9"/>
    <w:qFormat/>
    <w:uiPriority w:val="0"/>
    <w:rPr>
      <w:kern w:val="2"/>
      <w:sz w:val="18"/>
      <w:szCs w:val="18"/>
    </w:rPr>
  </w:style>
  <w:style w:type="character" w:customStyle="1" w:styleId="16">
    <w:name w:val="页脚 字符"/>
    <w:basedOn w:val="12"/>
    <w:link w:val="8"/>
    <w:qFormat/>
    <w:uiPriority w:val="99"/>
    <w:rPr>
      <w:kern w:val="2"/>
      <w:sz w:val="18"/>
      <w:szCs w:val="18"/>
    </w:rPr>
  </w:style>
  <w:style w:type="character" w:customStyle="1" w:styleId="17">
    <w:name w:val="标题 3 字符"/>
    <w:basedOn w:val="12"/>
    <w:link w:val="4"/>
    <w:semiHidden/>
    <w:qFormat/>
    <w:uiPriority w:val="0"/>
    <w:rPr>
      <w:b/>
      <w:bCs/>
      <w:kern w:val="2"/>
      <w:sz w:val="32"/>
      <w:szCs w:val="32"/>
    </w:rPr>
  </w:style>
  <w:style w:type="character" w:customStyle="1" w:styleId="18">
    <w:name w:val="正文文本 字符"/>
    <w:basedOn w:val="12"/>
    <w:link w:val="6"/>
    <w:qFormat/>
    <w:uiPriority w:val="1"/>
    <w:rPr>
      <w:rFonts w:ascii="方正仿宋简体" w:hAnsi="方正仿宋简体" w:eastAsia="方正仿宋简体" w:cs="方正仿宋简体"/>
      <w:kern w:val="2"/>
      <w:sz w:val="32"/>
      <w:szCs w:val="3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7C858-6576-4C56-BDCC-D1D3D59CC74D}">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6619</Words>
  <Characters>7106</Characters>
  <Lines>53</Lines>
  <Paragraphs>14</Paragraphs>
  <TotalTime>40</TotalTime>
  <ScaleCrop>false</ScaleCrop>
  <LinksUpToDate>false</LinksUpToDate>
  <CharactersWithSpaces>7110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2023-02-17T06:38:00Z</dcterms:created>
  <dc:creator>Administrator</dc:creator>
  <cp:lastModifiedBy>高  越(fgwgaoyue)</cp:lastModifiedBy>
  <cp:lastPrinted>2024-08-23T01:08:00Z</cp:lastPrinted>
  <dcterms:modified xsi:type="dcterms:W3CDTF">2024-09-25T07:50:54Z</dcterms:modified>
  <cp:revision>273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FF277A356E8744D591926A7E5B9AC8BC</vt:lpwstr>
  </property>
</Properties>
</file>