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B29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highlight w:val="none"/>
        </w:rPr>
      </w:pPr>
      <w:r>
        <w:rPr>
          <w:rFonts w:hint="eastAsia" w:ascii="Times New Roman" w:hAnsi="Times New Roman" w:eastAsia="方正小标宋简体" w:cs="Times New Roman"/>
          <w:bCs/>
          <w:sz w:val="44"/>
          <w:szCs w:val="44"/>
          <w:highlight w:val="none"/>
          <w:lang w:val="en-US" w:eastAsia="zh-CN"/>
        </w:rPr>
        <w:t>南京市六合区</w:t>
      </w:r>
      <w:r>
        <w:rPr>
          <w:rFonts w:hint="default" w:ascii="Times New Roman" w:hAnsi="Times New Roman" w:eastAsia="方正小标宋简体" w:cs="Times New Roman"/>
          <w:bCs/>
          <w:sz w:val="44"/>
          <w:szCs w:val="44"/>
          <w:highlight w:val="none"/>
        </w:rPr>
        <w:t>2025年上半年国民经济</w:t>
      </w:r>
    </w:p>
    <w:p w14:paraId="6ED41F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highlight w:val="none"/>
        </w:rPr>
      </w:pPr>
      <w:r>
        <w:rPr>
          <w:rFonts w:hint="default" w:ascii="Times New Roman" w:hAnsi="Times New Roman" w:eastAsia="方正小标宋简体" w:cs="Times New Roman"/>
          <w:bCs/>
          <w:sz w:val="44"/>
          <w:szCs w:val="44"/>
          <w:highlight w:val="none"/>
        </w:rPr>
        <w:t>和社会发展计划执行情况</w:t>
      </w:r>
    </w:p>
    <w:p w14:paraId="1347DD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简体" w:cs="Times New Roman"/>
          <w:sz w:val="32"/>
          <w:szCs w:val="32"/>
          <w:highlight w:val="none"/>
        </w:rPr>
      </w:pPr>
    </w:p>
    <w:p w14:paraId="0CD370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简体" w:cs="Times New Roman"/>
          <w:sz w:val="32"/>
          <w:szCs w:val="32"/>
          <w:highlight w:val="none"/>
        </w:rPr>
      </w:pPr>
      <w:r>
        <w:rPr>
          <w:rFonts w:ascii="Times New Roman" w:hAnsi="Times New Roman" w:eastAsia="方正黑体简体" w:cs="Times New Roman"/>
          <w:sz w:val="32"/>
          <w:szCs w:val="32"/>
          <w:highlight w:val="none"/>
        </w:rPr>
        <w:t>一、上半年国民经济和社会发展计划执行情况</w:t>
      </w:r>
    </w:p>
    <w:p w14:paraId="268FFF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highlight w:val="none"/>
        </w:rPr>
      </w:pPr>
      <w:r>
        <w:rPr>
          <w:rFonts w:ascii="Times New Roman" w:hAnsi="Times New Roman" w:eastAsia="方正仿宋简体" w:cs="Times New Roman"/>
          <w:sz w:val="32"/>
          <w:szCs w:val="32"/>
          <w:highlight w:val="none"/>
        </w:rPr>
        <w:t>今年以来，全区上下</w:t>
      </w:r>
      <w:r>
        <w:rPr>
          <w:rFonts w:ascii="Times New Roman" w:hAnsi="Times New Roman" w:eastAsia="方正仿宋简体" w:cs="Times New Roman"/>
          <w:sz w:val="32"/>
          <w:highlight w:val="none"/>
        </w:rPr>
        <w:t>锚定“两个千亿”奋斗目标，</w:t>
      </w:r>
      <w:r>
        <w:rPr>
          <w:rFonts w:ascii="Times New Roman" w:hAnsi="Times New Roman" w:eastAsia="方正仿宋简体" w:cs="Times New Roman"/>
          <w:sz w:val="32"/>
          <w:szCs w:val="32"/>
          <w:highlight w:val="none"/>
        </w:rPr>
        <w:t>深入推进“2442”整体发展布局，稳步实施人代会确定的年度计划任务，奋力打好“十四五”规划收官之战，</w:t>
      </w:r>
      <w:r>
        <w:rPr>
          <w:rFonts w:ascii="Times New Roman" w:hAnsi="Times New Roman" w:eastAsia="方正仿宋简体" w:cs="Times New Roman"/>
          <w:sz w:val="32"/>
          <w:szCs w:val="32"/>
          <w:highlight w:val="none"/>
          <w:shd w:val="clear" w:color="auto" w:fill="FFFFFF"/>
        </w:rPr>
        <w:t>经济运行呈现稳中有进良好态势，社会大局保持和谐稳定</w:t>
      </w:r>
      <w:r>
        <w:rPr>
          <w:rFonts w:ascii="Times New Roman" w:hAnsi="Times New Roman" w:eastAsia="方正仿宋简体" w:cs="Times New Roman"/>
          <w:sz w:val="32"/>
          <w:szCs w:val="32"/>
          <w:highlight w:val="none"/>
        </w:rPr>
        <w:t>。</w:t>
      </w:r>
    </w:p>
    <w:p w14:paraId="7D44B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简体" w:cs="Times New Roman"/>
          <w:sz w:val="32"/>
          <w:szCs w:val="32"/>
          <w:highlight w:val="none"/>
        </w:rPr>
      </w:pPr>
      <w:r>
        <w:rPr>
          <w:rFonts w:ascii="Times New Roman" w:hAnsi="Times New Roman" w:eastAsia="方正楷体简体" w:cs="Times New Roman"/>
          <w:sz w:val="32"/>
          <w:szCs w:val="32"/>
          <w:highlight w:val="none"/>
        </w:rPr>
        <w:t>（一）主要目标完成情况</w:t>
      </w:r>
    </w:p>
    <w:p w14:paraId="506DA4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highlight w:val="none"/>
        </w:rPr>
      </w:pPr>
      <w:r>
        <w:rPr>
          <w:rFonts w:ascii="Times New Roman" w:hAnsi="Times New Roman" w:eastAsia="方正仿宋简体" w:cs="Times New Roman"/>
          <w:sz w:val="32"/>
          <w:szCs w:val="32"/>
          <w:highlight w:val="none"/>
        </w:rPr>
        <w:t>2025年列入区人代会主要指标共六大类33项，</w:t>
      </w:r>
      <w:r>
        <w:rPr>
          <w:rFonts w:hint="eastAsia" w:ascii="Times New Roman" w:hAnsi="Times New Roman" w:eastAsia="方正仿宋简体" w:cs="Times New Roman"/>
          <w:sz w:val="32"/>
          <w:szCs w:val="32"/>
          <w:highlight w:val="none"/>
        </w:rPr>
        <w:t>上半年总体完成情况较好。</w:t>
      </w:r>
      <w:r>
        <w:rPr>
          <w:rFonts w:hint="eastAsia" w:ascii="Times New Roman" w:hAnsi="Times New Roman" w:eastAsia="方正仿宋简体" w:cs="Times New Roman"/>
          <w:b/>
          <w:bCs/>
          <w:sz w:val="32"/>
          <w:szCs w:val="32"/>
          <w:highlight w:val="none"/>
        </w:rPr>
        <w:t>从25项可获取数据指标来看</w:t>
      </w:r>
      <w:r>
        <w:rPr>
          <w:rFonts w:hint="eastAsia" w:ascii="Times New Roman" w:hAnsi="Times New Roman" w:eastAsia="方正仿宋简体" w:cs="Times New Roman"/>
          <w:sz w:val="32"/>
          <w:szCs w:val="32"/>
          <w:highlight w:val="none"/>
        </w:rPr>
        <w:t>，23项指标达到或远超序时进度要求，地区生产总值增长6.1%、排名全市第2；社会消费品零售总额增长7.8%，高于全市2.5个百分点；一般公共预算收入增长4.1%、高于全市2.6个百分点；新增省级以上专精特新企业6家；高新技术产业产值占规模以上工业总产值比重达69.9%。</w:t>
      </w:r>
      <w:r>
        <w:rPr>
          <w:rFonts w:hint="eastAsia" w:ascii="Times New Roman" w:hAnsi="Times New Roman" w:eastAsia="方正仿宋简体" w:cs="Times New Roman"/>
          <w:b/>
          <w:bCs/>
          <w:sz w:val="32"/>
          <w:szCs w:val="32"/>
          <w:highlight w:val="none"/>
        </w:rPr>
        <w:t>从8项年度统计指标来看</w:t>
      </w:r>
      <w:r>
        <w:rPr>
          <w:rFonts w:hint="eastAsia" w:ascii="Times New Roman" w:hAnsi="Times New Roman" w:eastAsia="方正仿宋简体" w:cs="Times New Roman"/>
          <w:sz w:val="32"/>
          <w:szCs w:val="32"/>
          <w:highlight w:val="none"/>
        </w:rPr>
        <w:t>，今年以来相关工作推进有力，虽然无法获取半年数据，但均有望顺利完成年度目标。</w:t>
      </w:r>
      <w:r>
        <w:rPr>
          <w:rFonts w:hint="eastAsia" w:ascii="Times New Roman" w:hAnsi="Times New Roman" w:eastAsia="方正仿宋简体" w:cs="Times New Roman"/>
          <w:b/>
          <w:bCs/>
          <w:sz w:val="32"/>
          <w:szCs w:val="32"/>
          <w:highlight w:val="none"/>
        </w:rPr>
        <w:t>从2项未达进度指标看</w:t>
      </w:r>
      <w:r>
        <w:rPr>
          <w:rFonts w:hint="eastAsia" w:ascii="Times New Roman" w:hAnsi="Times New Roman" w:eastAsia="方正仿宋简体" w:cs="Times New Roman"/>
          <w:sz w:val="32"/>
          <w:szCs w:val="32"/>
          <w:highlight w:val="none"/>
        </w:rPr>
        <w:t>，受</w:t>
      </w:r>
      <w:r>
        <w:rPr>
          <w:rFonts w:ascii="Times New Roman" w:hAnsi="Times New Roman" w:eastAsia="方正仿宋简体" w:cs="Times New Roman"/>
          <w:sz w:val="32"/>
          <w:szCs w:val="32"/>
          <w:highlight w:val="none"/>
        </w:rPr>
        <w:t>外部错综复杂形势、企业技术购买力减弱等因素影响</w:t>
      </w:r>
      <w:r>
        <w:rPr>
          <w:rFonts w:hint="eastAsia" w:ascii="Times New Roman" w:hAnsi="Times New Roman" w:eastAsia="方正仿宋简体" w:cs="Times New Roman"/>
          <w:sz w:val="32"/>
          <w:szCs w:val="32"/>
          <w:highlight w:val="none"/>
        </w:rPr>
        <w:t>，实际利用外资、技术合同成交额与序时进度要求还有一定差距。下半年通过项目招引落地、服务重点研发企业等措施，有望持续缩小与年度目标的差距。</w:t>
      </w:r>
    </w:p>
    <w:p w14:paraId="6282A1A9">
      <w:pPr>
        <w:spacing w:line="560" w:lineRule="exact"/>
        <w:jc w:val="center"/>
        <w:rPr>
          <w:rFonts w:ascii="Times New Roman" w:hAnsi="Times New Roman" w:eastAsia="方正黑体简体" w:cs="Times New Roman"/>
          <w:sz w:val="28"/>
          <w:szCs w:val="28"/>
          <w:highlight w:val="none"/>
        </w:rPr>
      </w:pPr>
    </w:p>
    <w:p w14:paraId="194DCD99">
      <w:pPr>
        <w:spacing w:line="560" w:lineRule="exact"/>
        <w:jc w:val="center"/>
        <w:rPr>
          <w:rFonts w:ascii="Times New Roman" w:hAnsi="Times New Roman" w:eastAsia="方正仿宋简体" w:cs="Times New Roman"/>
          <w:sz w:val="32"/>
          <w:szCs w:val="32"/>
          <w:highlight w:val="none"/>
        </w:rPr>
      </w:pPr>
      <w:r>
        <w:rPr>
          <w:rFonts w:ascii="Times New Roman" w:hAnsi="Times New Roman" w:eastAsia="方正黑体简体" w:cs="Times New Roman"/>
          <w:sz w:val="28"/>
          <w:szCs w:val="28"/>
          <w:highlight w:val="none"/>
        </w:rPr>
        <w:t>2025年上半年主要指标完成情况表</w:t>
      </w:r>
    </w:p>
    <w:tbl>
      <w:tblPr>
        <w:tblStyle w:val="6"/>
        <w:tblW w:w="10347" w:type="dxa"/>
        <w:jc w:val="center"/>
        <w:tblBorders>
          <w:top w:val="double" w:color="auto" w:sz="4" w:space="0"/>
          <w:left w:val="none" w:color="auto" w:sz="0" w:space="0"/>
          <w:bottom w:val="dotted"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7"/>
        <w:gridCol w:w="621"/>
        <w:gridCol w:w="3353"/>
        <w:gridCol w:w="869"/>
        <w:gridCol w:w="2104"/>
        <w:gridCol w:w="911"/>
        <w:gridCol w:w="806"/>
        <w:gridCol w:w="996"/>
      </w:tblGrid>
      <w:tr w14:paraId="336DC244">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blHeader/>
          <w:jc w:val="center"/>
        </w:trPr>
        <w:tc>
          <w:tcPr>
            <w:tcW w:w="687" w:type="dxa"/>
            <w:vMerge w:val="restart"/>
            <w:tcBorders>
              <w:top w:val="double" w:color="auto" w:sz="4" w:space="0"/>
              <w:left w:val="nil"/>
              <w:bottom w:val="dotted" w:color="auto" w:sz="4" w:space="0"/>
              <w:right w:val="dotted" w:color="auto" w:sz="4" w:space="0"/>
            </w:tcBorders>
            <w:vAlign w:val="center"/>
          </w:tcPr>
          <w:p w14:paraId="58D53867">
            <w:pPr>
              <w:spacing w:line="240" w:lineRule="exact"/>
              <w:rPr>
                <w:rFonts w:ascii="Times New Roman" w:hAnsi="Times New Roman" w:eastAsia="方正黑体简体" w:cs="Times New Roman"/>
                <w:sz w:val="20"/>
                <w:szCs w:val="20"/>
                <w:highlight w:val="none"/>
              </w:rPr>
            </w:pPr>
            <w:r>
              <w:rPr>
                <w:rFonts w:ascii="Times New Roman" w:hAnsi="Times New Roman" w:eastAsia="方正黑体简体" w:cs="Times New Roman"/>
                <w:sz w:val="20"/>
                <w:szCs w:val="20"/>
                <w:highlight w:val="none"/>
              </w:rPr>
              <w:t>类别</w:t>
            </w:r>
          </w:p>
        </w:tc>
        <w:tc>
          <w:tcPr>
            <w:tcW w:w="621" w:type="dxa"/>
            <w:vMerge w:val="restart"/>
            <w:tcBorders>
              <w:top w:val="double" w:color="auto" w:sz="4" w:space="0"/>
              <w:left w:val="dotted" w:color="auto" w:sz="4" w:space="0"/>
              <w:bottom w:val="dotted" w:color="auto" w:sz="4" w:space="0"/>
              <w:right w:val="dotted" w:color="auto" w:sz="4" w:space="0"/>
            </w:tcBorders>
            <w:vAlign w:val="center"/>
          </w:tcPr>
          <w:p w14:paraId="06E1AEBF">
            <w:pPr>
              <w:spacing w:line="240" w:lineRule="exact"/>
              <w:jc w:val="center"/>
              <w:rPr>
                <w:rFonts w:ascii="Times New Roman" w:hAnsi="Times New Roman" w:eastAsia="方正黑体简体" w:cs="Times New Roman"/>
                <w:sz w:val="20"/>
                <w:szCs w:val="20"/>
                <w:highlight w:val="none"/>
              </w:rPr>
            </w:pPr>
            <w:r>
              <w:rPr>
                <w:rFonts w:ascii="Times New Roman" w:hAnsi="Times New Roman" w:eastAsia="方正黑体简体" w:cs="Times New Roman"/>
                <w:sz w:val="20"/>
                <w:szCs w:val="20"/>
                <w:highlight w:val="none"/>
              </w:rPr>
              <w:t>序号</w:t>
            </w:r>
          </w:p>
        </w:tc>
        <w:tc>
          <w:tcPr>
            <w:tcW w:w="3353" w:type="dxa"/>
            <w:vMerge w:val="restart"/>
            <w:tcBorders>
              <w:top w:val="double" w:color="auto" w:sz="4" w:space="0"/>
              <w:left w:val="dotted" w:color="auto" w:sz="4" w:space="0"/>
              <w:bottom w:val="dotted" w:color="auto" w:sz="4" w:space="0"/>
              <w:right w:val="dotted" w:color="auto" w:sz="4" w:space="0"/>
            </w:tcBorders>
            <w:vAlign w:val="center"/>
          </w:tcPr>
          <w:p w14:paraId="1AF99B5F">
            <w:pPr>
              <w:spacing w:line="240" w:lineRule="exact"/>
              <w:jc w:val="center"/>
              <w:rPr>
                <w:rFonts w:ascii="Times New Roman" w:hAnsi="Times New Roman" w:eastAsia="方正黑体简体" w:cs="Times New Roman"/>
                <w:sz w:val="20"/>
                <w:szCs w:val="20"/>
                <w:highlight w:val="none"/>
              </w:rPr>
            </w:pPr>
            <w:r>
              <w:rPr>
                <w:rFonts w:ascii="Times New Roman" w:hAnsi="Times New Roman" w:eastAsia="方正黑体简体" w:cs="Times New Roman"/>
                <w:sz w:val="20"/>
                <w:szCs w:val="20"/>
                <w:highlight w:val="none"/>
              </w:rPr>
              <w:t>指标名称</w:t>
            </w:r>
          </w:p>
        </w:tc>
        <w:tc>
          <w:tcPr>
            <w:tcW w:w="869" w:type="dxa"/>
            <w:vMerge w:val="restart"/>
            <w:tcBorders>
              <w:top w:val="double" w:color="auto" w:sz="4" w:space="0"/>
              <w:left w:val="dotted" w:color="auto" w:sz="4" w:space="0"/>
              <w:bottom w:val="dotted" w:color="auto" w:sz="4" w:space="0"/>
              <w:right w:val="dotted" w:color="auto" w:sz="4" w:space="0"/>
            </w:tcBorders>
            <w:vAlign w:val="center"/>
          </w:tcPr>
          <w:p w14:paraId="74CA5803">
            <w:pPr>
              <w:spacing w:line="240" w:lineRule="exact"/>
              <w:jc w:val="center"/>
              <w:rPr>
                <w:rFonts w:ascii="Times New Roman" w:hAnsi="Times New Roman" w:eastAsia="方正黑体简体" w:cs="Times New Roman"/>
                <w:sz w:val="20"/>
                <w:szCs w:val="20"/>
                <w:highlight w:val="none"/>
              </w:rPr>
            </w:pPr>
            <w:r>
              <w:rPr>
                <w:rFonts w:ascii="Times New Roman" w:hAnsi="Times New Roman" w:eastAsia="方正黑体简体" w:cs="Times New Roman"/>
                <w:sz w:val="20"/>
                <w:szCs w:val="20"/>
                <w:highlight w:val="none"/>
              </w:rPr>
              <w:t>单位</w:t>
            </w:r>
          </w:p>
        </w:tc>
        <w:tc>
          <w:tcPr>
            <w:tcW w:w="2104" w:type="dxa"/>
            <w:vMerge w:val="restart"/>
            <w:tcBorders>
              <w:top w:val="double" w:color="auto" w:sz="4" w:space="0"/>
              <w:left w:val="dotted" w:color="auto" w:sz="4" w:space="0"/>
              <w:bottom w:val="dotted" w:color="auto" w:sz="4" w:space="0"/>
              <w:right w:val="dotted" w:color="auto" w:sz="4" w:space="0"/>
            </w:tcBorders>
            <w:vAlign w:val="center"/>
          </w:tcPr>
          <w:p w14:paraId="119F5664">
            <w:pPr>
              <w:spacing w:line="240" w:lineRule="exact"/>
              <w:jc w:val="center"/>
              <w:rPr>
                <w:rFonts w:ascii="Times New Roman" w:hAnsi="Times New Roman" w:eastAsia="方正黑体简体" w:cs="Times New Roman"/>
                <w:sz w:val="20"/>
                <w:szCs w:val="20"/>
                <w:highlight w:val="none"/>
              </w:rPr>
            </w:pPr>
            <w:r>
              <w:rPr>
                <w:rFonts w:ascii="Times New Roman" w:hAnsi="Times New Roman" w:eastAsia="方正黑体简体" w:cs="Times New Roman"/>
                <w:sz w:val="20"/>
                <w:szCs w:val="20"/>
                <w:highlight w:val="none"/>
              </w:rPr>
              <w:t>年度计划</w:t>
            </w:r>
          </w:p>
        </w:tc>
        <w:tc>
          <w:tcPr>
            <w:tcW w:w="2713" w:type="dxa"/>
            <w:gridSpan w:val="3"/>
            <w:tcBorders>
              <w:top w:val="double" w:color="auto" w:sz="4" w:space="0"/>
              <w:left w:val="dotted" w:color="auto" w:sz="4" w:space="0"/>
              <w:bottom w:val="dotted" w:color="auto" w:sz="4" w:space="0"/>
              <w:right w:val="nil"/>
            </w:tcBorders>
            <w:vAlign w:val="center"/>
          </w:tcPr>
          <w:p w14:paraId="28C1F200">
            <w:pPr>
              <w:spacing w:line="240" w:lineRule="exact"/>
              <w:jc w:val="center"/>
              <w:rPr>
                <w:rFonts w:ascii="Times New Roman" w:hAnsi="Times New Roman" w:eastAsia="方正黑体简体" w:cs="Times New Roman"/>
                <w:sz w:val="20"/>
                <w:szCs w:val="20"/>
                <w:highlight w:val="none"/>
              </w:rPr>
            </w:pPr>
            <w:r>
              <w:rPr>
                <w:rFonts w:ascii="Times New Roman" w:hAnsi="Times New Roman" w:eastAsia="方正黑体简体" w:cs="Times New Roman"/>
                <w:sz w:val="20"/>
                <w:szCs w:val="20"/>
                <w:highlight w:val="none"/>
              </w:rPr>
              <w:t>上半年完成情况</w:t>
            </w:r>
          </w:p>
        </w:tc>
      </w:tr>
      <w:tr w14:paraId="6EF4D1C3">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blHeader/>
          <w:jc w:val="center"/>
        </w:trPr>
        <w:tc>
          <w:tcPr>
            <w:tcW w:w="687" w:type="dxa"/>
            <w:vMerge w:val="continue"/>
            <w:tcBorders>
              <w:top w:val="dotted" w:color="auto" w:sz="4" w:space="0"/>
              <w:left w:val="nil"/>
              <w:bottom w:val="dotted" w:color="auto" w:sz="4" w:space="0"/>
              <w:right w:val="dotted" w:color="auto" w:sz="4" w:space="0"/>
            </w:tcBorders>
          </w:tcPr>
          <w:p w14:paraId="14C2837F">
            <w:pPr>
              <w:spacing w:line="240" w:lineRule="exact"/>
              <w:rPr>
                <w:rFonts w:ascii="Times New Roman" w:hAnsi="Times New Roman" w:eastAsia="方正黑体简体" w:cs="Times New Roman"/>
                <w:sz w:val="20"/>
                <w:szCs w:val="20"/>
                <w:highlight w:val="none"/>
              </w:rPr>
            </w:pPr>
          </w:p>
        </w:tc>
        <w:tc>
          <w:tcPr>
            <w:tcW w:w="621" w:type="dxa"/>
            <w:vMerge w:val="continue"/>
            <w:tcBorders>
              <w:top w:val="dotted" w:color="auto" w:sz="4" w:space="0"/>
              <w:left w:val="dotted" w:color="auto" w:sz="4" w:space="0"/>
              <w:bottom w:val="dotted" w:color="auto" w:sz="4" w:space="0"/>
              <w:right w:val="dotted" w:color="auto" w:sz="4" w:space="0"/>
            </w:tcBorders>
          </w:tcPr>
          <w:p w14:paraId="053B5BFB">
            <w:pPr>
              <w:spacing w:line="240" w:lineRule="exact"/>
              <w:jc w:val="center"/>
              <w:rPr>
                <w:rFonts w:ascii="Times New Roman" w:hAnsi="Times New Roman" w:eastAsia="方正黑体简体" w:cs="Times New Roman"/>
                <w:sz w:val="20"/>
                <w:szCs w:val="20"/>
                <w:highlight w:val="none"/>
              </w:rPr>
            </w:pPr>
          </w:p>
        </w:tc>
        <w:tc>
          <w:tcPr>
            <w:tcW w:w="3353" w:type="dxa"/>
            <w:vMerge w:val="continue"/>
            <w:tcBorders>
              <w:top w:val="dotted" w:color="auto" w:sz="4" w:space="0"/>
              <w:left w:val="dotted" w:color="auto" w:sz="4" w:space="0"/>
              <w:bottom w:val="dotted" w:color="auto" w:sz="4" w:space="0"/>
              <w:right w:val="dotted" w:color="auto" w:sz="4" w:space="0"/>
            </w:tcBorders>
          </w:tcPr>
          <w:p w14:paraId="5144728A">
            <w:pPr>
              <w:spacing w:line="240" w:lineRule="exact"/>
              <w:rPr>
                <w:rFonts w:ascii="Times New Roman" w:hAnsi="Times New Roman" w:eastAsia="方正黑体简体" w:cs="Times New Roman"/>
                <w:sz w:val="20"/>
                <w:szCs w:val="20"/>
                <w:highlight w:val="none"/>
              </w:rPr>
            </w:pPr>
          </w:p>
        </w:tc>
        <w:tc>
          <w:tcPr>
            <w:tcW w:w="869" w:type="dxa"/>
            <w:vMerge w:val="continue"/>
            <w:tcBorders>
              <w:top w:val="dotted" w:color="auto" w:sz="4" w:space="0"/>
              <w:left w:val="dotted" w:color="auto" w:sz="4" w:space="0"/>
              <w:bottom w:val="dotted" w:color="auto" w:sz="4" w:space="0"/>
              <w:right w:val="dotted" w:color="auto" w:sz="4" w:space="0"/>
            </w:tcBorders>
          </w:tcPr>
          <w:p w14:paraId="49EB077A">
            <w:pPr>
              <w:spacing w:line="240" w:lineRule="exact"/>
              <w:rPr>
                <w:rFonts w:ascii="Times New Roman" w:hAnsi="Times New Roman" w:eastAsia="方正黑体简体" w:cs="Times New Roman"/>
                <w:sz w:val="20"/>
                <w:szCs w:val="20"/>
                <w:highlight w:val="none"/>
              </w:rPr>
            </w:pPr>
          </w:p>
        </w:tc>
        <w:tc>
          <w:tcPr>
            <w:tcW w:w="2104" w:type="dxa"/>
            <w:vMerge w:val="continue"/>
            <w:tcBorders>
              <w:top w:val="dotted" w:color="auto" w:sz="4" w:space="0"/>
              <w:left w:val="dotted" w:color="auto" w:sz="4" w:space="0"/>
              <w:bottom w:val="dotted" w:color="auto" w:sz="4" w:space="0"/>
              <w:right w:val="dotted" w:color="auto" w:sz="4" w:space="0"/>
            </w:tcBorders>
          </w:tcPr>
          <w:p w14:paraId="588AAA03">
            <w:pPr>
              <w:spacing w:line="240" w:lineRule="exact"/>
              <w:rPr>
                <w:rFonts w:ascii="Times New Roman" w:hAnsi="Times New Roman" w:eastAsia="方正黑体简体" w:cs="Times New Roman"/>
                <w:sz w:val="20"/>
                <w:szCs w:val="20"/>
                <w:highlight w:val="none"/>
              </w:rPr>
            </w:pPr>
          </w:p>
        </w:tc>
        <w:tc>
          <w:tcPr>
            <w:tcW w:w="911" w:type="dxa"/>
            <w:tcBorders>
              <w:top w:val="dotted" w:color="auto" w:sz="4" w:space="0"/>
              <w:left w:val="dotted" w:color="auto" w:sz="4" w:space="0"/>
              <w:bottom w:val="dotted" w:color="auto" w:sz="4" w:space="0"/>
              <w:right w:val="dotted" w:color="auto" w:sz="4" w:space="0"/>
            </w:tcBorders>
            <w:vAlign w:val="center"/>
          </w:tcPr>
          <w:p w14:paraId="5AA914FF">
            <w:pPr>
              <w:spacing w:line="240" w:lineRule="exact"/>
              <w:jc w:val="center"/>
              <w:rPr>
                <w:rFonts w:ascii="Times New Roman" w:hAnsi="Times New Roman" w:eastAsia="方正黑体简体" w:cs="Times New Roman"/>
                <w:sz w:val="20"/>
                <w:szCs w:val="20"/>
                <w:highlight w:val="none"/>
              </w:rPr>
            </w:pPr>
            <w:r>
              <w:rPr>
                <w:rFonts w:ascii="Times New Roman" w:hAnsi="Times New Roman" w:eastAsia="方正黑体简体" w:cs="Times New Roman"/>
                <w:sz w:val="20"/>
                <w:szCs w:val="20"/>
                <w:highlight w:val="none"/>
              </w:rPr>
              <w:t>实绩</w:t>
            </w:r>
          </w:p>
        </w:tc>
        <w:tc>
          <w:tcPr>
            <w:tcW w:w="806" w:type="dxa"/>
            <w:tcBorders>
              <w:top w:val="dotted" w:color="auto" w:sz="4" w:space="0"/>
              <w:left w:val="dotted" w:color="auto" w:sz="4" w:space="0"/>
              <w:bottom w:val="dotted" w:color="auto" w:sz="4" w:space="0"/>
              <w:right w:val="dotted" w:color="auto" w:sz="4" w:space="0"/>
            </w:tcBorders>
            <w:vAlign w:val="center"/>
          </w:tcPr>
          <w:p w14:paraId="239767A9">
            <w:pPr>
              <w:spacing w:line="240" w:lineRule="exact"/>
              <w:jc w:val="center"/>
              <w:rPr>
                <w:rFonts w:ascii="Times New Roman" w:hAnsi="Times New Roman" w:eastAsia="方正黑体简体" w:cs="Times New Roman"/>
                <w:sz w:val="20"/>
                <w:szCs w:val="20"/>
                <w:highlight w:val="none"/>
              </w:rPr>
            </w:pPr>
            <w:r>
              <w:rPr>
                <w:rFonts w:ascii="Times New Roman" w:hAnsi="Times New Roman" w:eastAsia="方正黑体简体" w:cs="Times New Roman"/>
                <w:sz w:val="20"/>
                <w:szCs w:val="20"/>
                <w:highlight w:val="none"/>
              </w:rPr>
              <w:t>增幅</w:t>
            </w:r>
          </w:p>
          <w:p w14:paraId="02707CE4">
            <w:pPr>
              <w:spacing w:line="240" w:lineRule="exact"/>
              <w:jc w:val="center"/>
              <w:rPr>
                <w:rFonts w:ascii="Times New Roman" w:hAnsi="Times New Roman" w:eastAsia="方正黑体简体" w:cs="Times New Roman"/>
                <w:sz w:val="20"/>
                <w:szCs w:val="20"/>
                <w:highlight w:val="none"/>
              </w:rPr>
            </w:pPr>
            <w:r>
              <w:rPr>
                <w:rFonts w:ascii="Times New Roman" w:hAnsi="Times New Roman" w:eastAsia="方正黑体简体" w:cs="Times New Roman"/>
                <w:sz w:val="20"/>
                <w:szCs w:val="20"/>
                <w:highlight w:val="none"/>
              </w:rPr>
              <w:t>（%）</w:t>
            </w:r>
          </w:p>
        </w:tc>
        <w:tc>
          <w:tcPr>
            <w:tcW w:w="996" w:type="dxa"/>
            <w:tcBorders>
              <w:top w:val="dotted" w:color="auto" w:sz="4" w:space="0"/>
              <w:left w:val="dotted" w:color="auto" w:sz="4" w:space="0"/>
              <w:bottom w:val="dotted" w:color="auto" w:sz="4" w:space="0"/>
              <w:right w:val="nil"/>
            </w:tcBorders>
            <w:vAlign w:val="center"/>
          </w:tcPr>
          <w:p w14:paraId="3073D6AD">
            <w:pPr>
              <w:spacing w:line="240" w:lineRule="exact"/>
              <w:jc w:val="center"/>
              <w:rPr>
                <w:rFonts w:ascii="Times New Roman" w:hAnsi="Times New Roman" w:eastAsia="方正黑体简体" w:cs="Times New Roman"/>
                <w:sz w:val="20"/>
                <w:szCs w:val="20"/>
                <w:highlight w:val="none"/>
              </w:rPr>
            </w:pPr>
            <w:r>
              <w:rPr>
                <w:rFonts w:ascii="Times New Roman" w:hAnsi="Times New Roman" w:eastAsia="方正黑体简体" w:cs="Times New Roman"/>
                <w:sz w:val="20"/>
                <w:szCs w:val="20"/>
                <w:highlight w:val="none"/>
              </w:rPr>
              <w:t>是否</w:t>
            </w:r>
          </w:p>
          <w:p w14:paraId="66FF65E4">
            <w:pPr>
              <w:spacing w:line="240" w:lineRule="exact"/>
              <w:jc w:val="center"/>
              <w:rPr>
                <w:rFonts w:ascii="Times New Roman" w:hAnsi="Times New Roman" w:eastAsia="方正黑体简体" w:cs="Times New Roman"/>
                <w:sz w:val="20"/>
                <w:szCs w:val="20"/>
                <w:highlight w:val="none"/>
              </w:rPr>
            </w:pPr>
            <w:r>
              <w:rPr>
                <w:rFonts w:ascii="Times New Roman" w:hAnsi="Times New Roman" w:eastAsia="方正黑体简体" w:cs="Times New Roman"/>
                <w:sz w:val="20"/>
                <w:szCs w:val="20"/>
                <w:highlight w:val="none"/>
              </w:rPr>
              <w:t>达进度</w:t>
            </w:r>
          </w:p>
        </w:tc>
      </w:tr>
      <w:tr w14:paraId="1B19C474">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exact"/>
          <w:jc w:val="center"/>
        </w:trPr>
        <w:tc>
          <w:tcPr>
            <w:tcW w:w="687" w:type="dxa"/>
            <w:vMerge w:val="restart"/>
            <w:tcBorders>
              <w:top w:val="dotted" w:color="auto" w:sz="4" w:space="0"/>
              <w:left w:val="nil"/>
              <w:right w:val="dotted" w:color="auto" w:sz="4" w:space="0"/>
            </w:tcBorders>
            <w:vAlign w:val="center"/>
          </w:tcPr>
          <w:p w14:paraId="4120224C">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经济发展</w:t>
            </w:r>
          </w:p>
        </w:tc>
        <w:tc>
          <w:tcPr>
            <w:tcW w:w="621" w:type="dxa"/>
            <w:tcBorders>
              <w:top w:val="dotted" w:color="auto" w:sz="4" w:space="0"/>
              <w:left w:val="dotted" w:color="auto" w:sz="4" w:space="0"/>
              <w:bottom w:val="dotted" w:color="auto" w:sz="4" w:space="0"/>
              <w:right w:val="dotted" w:color="auto" w:sz="4" w:space="0"/>
            </w:tcBorders>
            <w:vAlign w:val="center"/>
          </w:tcPr>
          <w:p w14:paraId="08D08C36">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1</w:t>
            </w:r>
          </w:p>
        </w:tc>
        <w:tc>
          <w:tcPr>
            <w:tcW w:w="3353" w:type="dxa"/>
            <w:tcBorders>
              <w:top w:val="dotted" w:color="auto" w:sz="4" w:space="0"/>
              <w:left w:val="dotted" w:color="auto" w:sz="4" w:space="0"/>
              <w:bottom w:val="dotted" w:color="auto" w:sz="4" w:space="0"/>
              <w:right w:val="dotted" w:color="auto" w:sz="4" w:space="0"/>
            </w:tcBorders>
            <w:vAlign w:val="center"/>
          </w:tcPr>
          <w:p w14:paraId="439FBBD9">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地区生产总值</w:t>
            </w:r>
          </w:p>
        </w:tc>
        <w:tc>
          <w:tcPr>
            <w:tcW w:w="869" w:type="dxa"/>
            <w:tcBorders>
              <w:top w:val="dotted" w:color="auto" w:sz="4" w:space="0"/>
              <w:left w:val="dotted" w:color="auto" w:sz="4" w:space="0"/>
              <w:bottom w:val="dotted" w:color="auto" w:sz="4" w:space="0"/>
              <w:right w:val="dotted" w:color="auto" w:sz="4" w:space="0"/>
            </w:tcBorders>
            <w:vAlign w:val="center"/>
          </w:tcPr>
          <w:p w14:paraId="61F65191">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亿元</w:t>
            </w:r>
          </w:p>
        </w:tc>
        <w:tc>
          <w:tcPr>
            <w:tcW w:w="2104" w:type="dxa"/>
            <w:tcBorders>
              <w:top w:val="dotted" w:color="auto" w:sz="4" w:space="0"/>
              <w:left w:val="dotted" w:color="auto" w:sz="4" w:space="0"/>
              <w:bottom w:val="dotted" w:color="auto" w:sz="4" w:space="0"/>
              <w:right w:val="dotted" w:color="auto" w:sz="4" w:space="0"/>
            </w:tcBorders>
            <w:vAlign w:val="center"/>
          </w:tcPr>
          <w:p w14:paraId="41A40A6E">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增长5.5%</w:t>
            </w:r>
          </w:p>
        </w:tc>
        <w:tc>
          <w:tcPr>
            <w:tcW w:w="911" w:type="dxa"/>
            <w:tcBorders>
              <w:top w:val="dotted" w:color="auto" w:sz="4" w:space="0"/>
              <w:left w:val="dotted" w:color="auto" w:sz="4" w:space="0"/>
              <w:bottom w:val="dotted" w:color="auto" w:sz="4" w:space="0"/>
              <w:right w:val="dotted" w:color="auto" w:sz="4" w:space="0"/>
            </w:tcBorders>
            <w:vAlign w:val="center"/>
          </w:tcPr>
          <w:p w14:paraId="4D31073C">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806" w:type="dxa"/>
            <w:tcBorders>
              <w:top w:val="dotted" w:color="auto" w:sz="4" w:space="0"/>
              <w:left w:val="dotted" w:color="auto" w:sz="4" w:space="0"/>
              <w:bottom w:val="dotted" w:color="auto" w:sz="4" w:space="0"/>
              <w:right w:val="dotted" w:color="auto" w:sz="4" w:space="0"/>
            </w:tcBorders>
            <w:vAlign w:val="center"/>
          </w:tcPr>
          <w:p w14:paraId="6CEF6A80">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6</w:t>
            </w:r>
            <w:r>
              <w:rPr>
                <w:rFonts w:hint="eastAsia" w:ascii="Times New Roman" w:hAnsi="Times New Roman" w:eastAsia="方正仿宋简体" w:cs="Times New Roman"/>
                <w:sz w:val="20"/>
                <w:szCs w:val="20"/>
                <w:highlight w:val="none"/>
              </w:rPr>
              <w:t>.1</w:t>
            </w:r>
          </w:p>
        </w:tc>
        <w:tc>
          <w:tcPr>
            <w:tcW w:w="996" w:type="dxa"/>
            <w:tcBorders>
              <w:top w:val="dotted" w:color="auto" w:sz="4" w:space="0"/>
              <w:left w:val="dotted" w:color="auto" w:sz="4" w:space="0"/>
              <w:bottom w:val="dotted" w:color="auto" w:sz="4" w:space="0"/>
              <w:right w:val="nil"/>
            </w:tcBorders>
            <w:vAlign w:val="center"/>
          </w:tcPr>
          <w:p w14:paraId="37D5AB4F">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54ECC4D8">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exact"/>
          <w:jc w:val="center"/>
        </w:trPr>
        <w:tc>
          <w:tcPr>
            <w:tcW w:w="687" w:type="dxa"/>
            <w:vMerge w:val="continue"/>
            <w:tcBorders>
              <w:left w:val="nil"/>
              <w:right w:val="dotted" w:color="auto" w:sz="4" w:space="0"/>
            </w:tcBorders>
            <w:vAlign w:val="center"/>
          </w:tcPr>
          <w:p w14:paraId="469245F2">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74922A68">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2</w:t>
            </w:r>
          </w:p>
        </w:tc>
        <w:tc>
          <w:tcPr>
            <w:tcW w:w="3353" w:type="dxa"/>
            <w:tcBorders>
              <w:top w:val="dotted" w:color="auto" w:sz="4" w:space="0"/>
              <w:left w:val="dotted" w:color="auto" w:sz="4" w:space="0"/>
              <w:bottom w:val="dotted" w:color="auto" w:sz="4" w:space="0"/>
              <w:right w:val="dotted" w:color="auto" w:sz="4" w:space="0"/>
            </w:tcBorders>
            <w:vAlign w:val="center"/>
          </w:tcPr>
          <w:p w14:paraId="2671BB4A">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全社会固定资产投资</w:t>
            </w:r>
          </w:p>
        </w:tc>
        <w:tc>
          <w:tcPr>
            <w:tcW w:w="869" w:type="dxa"/>
            <w:tcBorders>
              <w:top w:val="dotted" w:color="auto" w:sz="4" w:space="0"/>
              <w:left w:val="dotted" w:color="auto" w:sz="4" w:space="0"/>
              <w:bottom w:val="dotted" w:color="auto" w:sz="4" w:space="0"/>
              <w:right w:val="dotted" w:color="auto" w:sz="4" w:space="0"/>
            </w:tcBorders>
            <w:vAlign w:val="center"/>
          </w:tcPr>
          <w:p w14:paraId="742AC1BF">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亿元</w:t>
            </w:r>
          </w:p>
        </w:tc>
        <w:tc>
          <w:tcPr>
            <w:tcW w:w="2104" w:type="dxa"/>
            <w:tcBorders>
              <w:top w:val="dotted" w:color="auto" w:sz="4" w:space="0"/>
              <w:left w:val="dotted" w:color="auto" w:sz="4" w:space="0"/>
              <w:bottom w:val="dotted" w:color="auto" w:sz="4" w:space="0"/>
              <w:right w:val="dotted" w:color="auto" w:sz="4" w:space="0"/>
            </w:tcBorders>
            <w:vAlign w:val="center"/>
          </w:tcPr>
          <w:p w14:paraId="2757C19C">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超200</w:t>
            </w:r>
          </w:p>
        </w:tc>
        <w:tc>
          <w:tcPr>
            <w:tcW w:w="911" w:type="dxa"/>
            <w:tcBorders>
              <w:top w:val="dotted" w:color="auto" w:sz="4" w:space="0"/>
              <w:left w:val="dotted" w:color="auto" w:sz="4" w:space="0"/>
              <w:bottom w:val="dotted" w:color="auto" w:sz="4" w:space="0"/>
              <w:right w:val="dotted" w:color="auto" w:sz="4" w:space="0"/>
            </w:tcBorders>
            <w:vAlign w:val="center"/>
          </w:tcPr>
          <w:p w14:paraId="6CAB5603">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147.71</w:t>
            </w:r>
          </w:p>
        </w:tc>
        <w:tc>
          <w:tcPr>
            <w:tcW w:w="806" w:type="dxa"/>
            <w:tcBorders>
              <w:top w:val="dotted" w:color="auto" w:sz="4" w:space="0"/>
              <w:left w:val="dotted" w:color="auto" w:sz="4" w:space="0"/>
              <w:bottom w:val="dotted" w:color="auto" w:sz="4" w:space="0"/>
              <w:right w:val="dotted" w:color="auto" w:sz="4" w:space="0"/>
            </w:tcBorders>
            <w:vAlign w:val="center"/>
          </w:tcPr>
          <w:p w14:paraId="040F90DA">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996" w:type="dxa"/>
            <w:tcBorders>
              <w:top w:val="dotted" w:color="auto" w:sz="4" w:space="0"/>
              <w:left w:val="dotted" w:color="auto" w:sz="4" w:space="0"/>
              <w:bottom w:val="dotted" w:color="auto" w:sz="4" w:space="0"/>
              <w:right w:val="nil"/>
            </w:tcBorders>
            <w:vAlign w:val="center"/>
          </w:tcPr>
          <w:p w14:paraId="6434B410">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289D3BD4">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687" w:type="dxa"/>
            <w:vMerge w:val="continue"/>
            <w:tcBorders>
              <w:left w:val="nil"/>
              <w:right w:val="dotted" w:color="auto" w:sz="4" w:space="0"/>
            </w:tcBorders>
            <w:vAlign w:val="center"/>
          </w:tcPr>
          <w:p w14:paraId="1A48760D">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68E5938E">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3</w:t>
            </w:r>
          </w:p>
        </w:tc>
        <w:tc>
          <w:tcPr>
            <w:tcW w:w="3353" w:type="dxa"/>
            <w:tcBorders>
              <w:top w:val="dotted" w:color="auto" w:sz="4" w:space="0"/>
              <w:left w:val="dotted" w:color="auto" w:sz="4" w:space="0"/>
              <w:bottom w:val="dotted" w:color="auto" w:sz="4" w:space="0"/>
              <w:right w:val="dotted" w:color="auto" w:sz="4" w:space="0"/>
            </w:tcBorders>
            <w:vAlign w:val="center"/>
          </w:tcPr>
          <w:p w14:paraId="4A5AAFB0">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社会消费品零售总额</w:t>
            </w:r>
          </w:p>
        </w:tc>
        <w:tc>
          <w:tcPr>
            <w:tcW w:w="869" w:type="dxa"/>
            <w:tcBorders>
              <w:top w:val="dotted" w:color="auto" w:sz="4" w:space="0"/>
              <w:left w:val="dotted" w:color="auto" w:sz="4" w:space="0"/>
              <w:bottom w:val="dotted" w:color="auto" w:sz="4" w:space="0"/>
              <w:right w:val="dotted" w:color="auto" w:sz="4" w:space="0"/>
            </w:tcBorders>
            <w:vAlign w:val="center"/>
          </w:tcPr>
          <w:p w14:paraId="1412CB81">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亿元</w:t>
            </w:r>
          </w:p>
        </w:tc>
        <w:tc>
          <w:tcPr>
            <w:tcW w:w="2104" w:type="dxa"/>
            <w:tcBorders>
              <w:top w:val="dotted" w:color="auto" w:sz="4" w:space="0"/>
              <w:left w:val="dotted" w:color="auto" w:sz="4" w:space="0"/>
              <w:bottom w:val="dotted" w:color="auto" w:sz="4" w:space="0"/>
              <w:right w:val="dotted" w:color="auto" w:sz="4" w:space="0"/>
            </w:tcBorders>
            <w:vAlign w:val="center"/>
          </w:tcPr>
          <w:p w14:paraId="3015E22A">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增长6%</w:t>
            </w:r>
          </w:p>
        </w:tc>
        <w:tc>
          <w:tcPr>
            <w:tcW w:w="911" w:type="dxa"/>
            <w:tcBorders>
              <w:top w:val="dotted" w:color="auto" w:sz="4" w:space="0"/>
              <w:left w:val="dotted" w:color="auto" w:sz="4" w:space="0"/>
              <w:bottom w:val="dotted" w:color="auto" w:sz="4" w:space="0"/>
              <w:right w:val="dotted" w:color="auto" w:sz="4" w:space="0"/>
            </w:tcBorders>
            <w:vAlign w:val="center"/>
          </w:tcPr>
          <w:p w14:paraId="529237FA">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198.41</w:t>
            </w:r>
          </w:p>
        </w:tc>
        <w:tc>
          <w:tcPr>
            <w:tcW w:w="806" w:type="dxa"/>
            <w:tcBorders>
              <w:top w:val="dotted" w:color="auto" w:sz="4" w:space="0"/>
              <w:left w:val="dotted" w:color="auto" w:sz="4" w:space="0"/>
              <w:bottom w:val="dotted" w:color="auto" w:sz="4" w:space="0"/>
              <w:right w:val="dotted" w:color="auto" w:sz="4" w:space="0"/>
            </w:tcBorders>
            <w:vAlign w:val="center"/>
          </w:tcPr>
          <w:p w14:paraId="4E7A600A">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7.8</w:t>
            </w:r>
          </w:p>
        </w:tc>
        <w:tc>
          <w:tcPr>
            <w:tcW w:w="996" w:type="dxa"/>
            <w:tcBorders>
              <w:top w:val="dotted" w:color="auto" w:sz="4" w:space="0"/>
              <w:left w:val="dotted" w:color="auto" w:sz="4" w:space="0"/>
              <w:bottom w:val="dotted" w:color="auto" w:sz="4" w:space="0"/>
              <w:right w:val="nil"/>
            </w:tcBorders>
            <w:vAlign w:val="center"/>
          </w:tcPr>
          <w:p w14:paraId="47C340E4">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62F72412">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exact"/>
          <w:jc w:val="center"/>
        </w:trPr>
        <w:tc>
          <w:tcPr>
            <w:tcW w:w="687" w:type="dxa"/>
            <w:vMerge w:val="continue"/>
            <w:tcBorders>
              <w:left w:val="nil"/>
              <w:right w:val="dotted" w:color="auto" w:sz="4" w:space="0"/>
            </w:tcBorders>
          </w:tcPr>
          <w:p w14:paraId="330CF50E">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1321E70A">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4</w:t>
            </w:r>
          </w:p>
        </w:tc>
        <w:tc>
          <w:tcPr>
            <w:tcW w:w="3353" w:type="dxa"/>
            <w:tcBorders>
              <w:top w:val="dotted" w:color="auto" w:sz="4" w:space="0"/>
              <w:left w:val="dotted" w:color="auto" w:sz="4" w:space="0"/>
              <w:bottom w:val="dotted" w:color="auto" w:sz="4" w:space="0"/>
              <w:right w:val="dotted" w:color="auto" w:sz="4" w:space="0"/>
            </w:tcBorders>
            <w:vAlign w:val="center"/>
          </w:tcPr>
          <w:p w14:paraId="16A93304">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外贸进出口总额</w:t>
            </w:r>
          </w:p>
        </w:tc>
        <w:tc>
          <w:tcPr>
            <w:tcW w:w="869" w:type="dxa"/>
            <w:tcBorders>
              <w:top w:val="dotted" w:color="auto" w:sz="4" w:space="0"/>
              <w:left w:val="dotted" w:color="auto" w:sz="4" w:space="0"/>
              <w:bottom w:val="dotted" w:color="auto" w:sz="4" w:space="0"/>
              <w:right w:val="dotted" w:color="auto" w:sz="4" w:space="0"/>
            </w:tcBorders>
            <w:vAlign w:val="center"/>
          </w:tcPr>
          <w:p w14:paraId="7416E5C2">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亿元</w:t>
            </w:r>
          </w:p>
        </w:tc>
        <w:tc>
          <w:tcPr>
            <w:tcW w:w="2104" w:type="dxa"/>
            <w:tcBorders>
              <w:top w:val="dotted" w:color="auto" w:sz="4" w:space="0"/>
              <w:left w:val="dotted" w:color="auto" w:sz="4" w:space="0"/>
              <w:bottom w:val="dotted" w:color="auto" w:sz="4" w:space="0"/>
              <w:right w:val="dotted" w:color="auto" w:sz="4" w:space="0"/>
            </w:tcBorders>
            <w:vAlign w:val="center"/>
          </w:tcPr>
          <w:p w14:paraId="2D79445B">
            <w:pPr>
              <w:spacing w:line="240" w:lineRule="exact"/>
              <w:jc w:val="center"/>
              <w:rPr>
                <w:rFonts w:ascii="Times New Roman" w:hAnsi="Times New Roman" w:eastAsia="方正仿宋简体" w:cs="Times New Roman"/>
                <w:sz w:val="20"/>
                <w:szCs w:val="20"/>
                <w:highlight w:val="none"/>
              </w:rPr>
            </w:pPr>
            <w:r>
              <w:rPr>
                <w:rFonts w:hint="eastAsia" w:ascii="Times New Roman" w:hAnsi="Times New Roman" w:eastAsia="方正仿宋简体" w:cs="Times New Roman"/>
                <w:sz w:val="20"/>
                <w:szCs w:val="20"/>
                <w:highlight w:val="none"/>
              </w:rPr>
              <w:t>76.2亿元、</w:t>
            </w:r>
            <w:r>
              <w:rPr>
                <w:rFonts w:ascii="Times New Roman" w:hAnsi="Times New Roman" w:eastAsia="方正仿宋简体" w:cs="Times New Roman"/>
                <w:sz w:val="20"/>
                <w:szCs w:val="20"/>
                <w:highlight w:val="none"/>
              </w:rPr>
              <w:t>增长3%</w:t>
            </w:r>
          </w:p>
        </w:tc>
        <w:tc>
          <w:tcPr>
            <w:tcW w:w="911" w:type="dxa"/>
            <w:tcBorders>
              <w:top w:val="dotted" w:color="auto" w:sz="4" w:space="0"/>
              <w:left w:val="dotted" w:color="auto" w:sz="4" w:space="0"/>
              <w:bottom w:val="dotted" w:color="auto" w:sz="4" w:space="0"/>
              <w:right w:val="dotted" w:color="auto" w:sz="4" w:space="0"/>
            </w:tcBorders>
            <w:vAlign w:val="center"/>
          </w:tcPr>
          <w:p w14:paraId="20401AB9">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43.1</w:t>
            </w:r>
          </w:p>
        </w:tc>
        <w:tc>
          <w:tcPr>
            <w:tcW w:w="806" w:type="dxa"/>
            <w:tcBorders>
              <w:top w:val="dotted" w:color="auto" w:sz="4" w:space="0"/>
              <w:left w:val="dotted" w:color="auto" w:sz="4" w:space="0"/>
              <w:bottom w:val="dotted" w:color="auto" w:sz="4" w:space="0"/>
              <w:right w:val="dotted" w:color="auto" w:sz="4" w:space="0"/>
            </w:tcBorders>
            <w:vAlign w:val="center"/>
          </w:tcPr>
          <w:p w14:paraId="564DDF82">
            <w:pPr>
              <w:spacing w:line="240" w:lineRule="exact"/>
              <w:jc w:val="center"/>
              <w:rPr>
                <w:rFonts w:ascii="Times New Roman" w:hAnsi="Times New Roman" w:eastAsia="方正仿宋简体" w:cs="Times New Roman"/>
                <w:sz w:val="20"/>
                <w:szCs w:val="20"/>
                <w:highlight w:val="none"/>
              </w:rPr>
            </w:pPr>
            <w:r>
              <w:rPr>
                <w:rFonts w:hint="eastAsia" w:ascii="Times New Roman" w:hAnsi="Times New Roman" w:eastAsia="方正仿宋简体" w:cs="Times New Roman"/>
                <w:sz w:val="20"/>
                <w:szCs w:val="20"/>
                <w:highlight w:val="none"/>
              </w:rPr>
              <w:t>进度56.6%</w:t>
            </w:r>
          </w:p>
        </w:tc>
        <w:tc>
          <w:tcPr>
            <w:tcW w:w="996" w:type="dxa"/>
            <w:tcBorders>
              <w:top w:val="dotted" w:color="auto" w:sz="4" w:space="0"/>
              <w:left w:val="dotted" w:color="auto" w:sz="4" w:space="0"/>
              <w:bottom w:val="dotted" w:color="auto" w:sz="4" w:space="0"/>
              <w:right w:val="nil"/>
            </w:tcBorders>
            <w:vAlign w:val="center"/>
          </w:tcPr>
          <w:p w14:paraId="04844FD4">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6F8B4E22">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exact"/>
          <w:jc w:val="center"/>
        </w:trPr>
        <w:tc>
          <w:tcPr>
            <w:tcW w:w="687" w:type="dxa"/>
            <w:vMerge w:val="continue"/>
            <w:tcBorders>
              <w:left w:val="nil"/>
              <w:right w:val="dotted" w:color="auto" w:sz="4" w:space="0"/>
            </w:tcBorders>
          </w:tcPr>
          <w:p w14:paraId="3E2FBF40">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48C8C5A1">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5</w:t>
            </w:r>
          </w:p>
        </w:tc>
        <w:tc>
          <w:tcPr>
            <w:tcW w:w="3353" w:type="dxa"/>
            <w:tcBorders>
              <w:top w:val="dotted" w:color="auto" w:sz="4" w:space="0"/>
              <w:left w:val="dotted" w:color="auto" w:sz="4" w:space="0"/>
              <w:bottom w:val="dotted" w:color="auto" w:sz="4" w:space="0"/>
              <w:right w:val="dotted" w:color="auto" w:sz="4" w:space="0"/>
            </w:tcBorders>
            <w:vAlign w:val="center"/>
          </w:tcPr>
          <w:p w14:paraId="595280FC">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实际利用外资</w:t>
            </w:r>
          </w:p>
        </w:tc>
        <w:tc>
          <w:tcPr>
            <w:tcW w:w="869" w:type="dxa"/>
            <w:tcBorders>
              <w:top w:val="dotted" w:color="auto" w:sz="4" w:space="0"/>
              <w:left w:val="dotted" w:color="auto" w:sz="4" w:space="0"/>
              <w:bottom w:val="dotted" w:color="auto" w:sz="4" w:space="0"/>
              <w:right w:val="dotted" w:color="auto" w:sz="4" w:space="0"/>
            </w:tcBorders>
            <w:vAlign w:val="center"/>
          </w:tcPr>
          <w:p w14:paraId="4D2B3909">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万美元</w:t>
            </w:r>
          </w:p>
        </w:tc>
        <w:tc>
          <w:tcPr>
            <w:tcW w:w="2104" w:type="dxa"/>
            <w:tcBorders>
              <w:top w:val="dotted" w:color="auto" w:sz="4" w:space="0"/>
              <w:left w:val="dotted" w:color="auto" w:sz="4" w:space="0"/>
              <w:bottom w:val="dotted" w:color="auto" w:sz="4" w:space="0"/>
              <w:right w:val="dotted" w:color="auto" w:sz="4" w:space="0"/>
            </w:tcBorders>
            <w:vAlign w:val="center"/>
          </w:tcPr>
          <w:p w14:paraId="0E37E0EB">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17000</w:t>
            </w:r>
          </w:p>
        </w:tc>
        <w:tc>
          <w:tcPr>
            <w:tcW w:w="911" w:type="dxa"/>
            <w:tcBorders>
              <w:top w:val="dotted" w:color="auto" w:sz="4" w:space="0"/>
              <w:left w:val="dotted" w:color="auto" w:sz="4" w:space="0"/>
              <w:bottom w:val="dotted" w:color="auto" w:sz="4" w:space="0"/>
              <w:right w:val="dotted" w:color="auto" w:sz="4" w:space="0"/>
            </w:tcBorders>
            <w:vAlign w:val="center"/>
          </w:tcPr>
          <w:p w14:paraId="10BC5843">
            <w:pPr>
              <w:spacing w:line="240" w:lineRule="exact"/>
              <w:jc w:val="center"/>
              <w:rPr>
                <w:rFonts w:ascii="Times New Roman" w:hAnsi="Times New Roman" w:eastAsia="方正仿宋简体" w:cs="Times New Roman"/>
                <w:sz w:val="20"/>
                <w:szCs w:val="20"/>
                <w:highlight w:val="none"/>
              </w:rPr>
            </w:pPr>
            <w:r>
              <w:rPr>
                <w:rFonts w:hint="eastAsia" w:ascii="Times New Roman" w:hAnsi="Times New Roman" w:eastAsia="方正仿宋简体" w:cs="Times New Roman"/>
                <w:sz w:val="20"/>
                <w:szCs w:val="20"/>
                <w:highlight w:val="none"/>
              </w:rPr>
              <w:t>1158</w:t>
            </w:r>
          </w:p>
        </w:tc>
        <w:tc>
          <w:tcPr>
            <w:tcW w:w="806" w:type="dxa"/>
            <w:tcBorders>
              <w:top w:val="dotted" w:color="auto" w:sz="4" w:space="0"/>
              <w:left w:val="dotted" w:color="auto" w:sz="4" w:space="0"/>
              <w:bottom w:val="dotted" w:color="auto" w:sz="4" w:space="0"/>
              <w:right w:val="dotted" w:color="auto" w:sz="4" w:space="0"/>
            </w:tcBorders>
            <w:vAlign w:val="center"/>
          </w:tcPr>
          <w:p w14:paraId="2492C15B">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996" w:type="dxa"/>
            <w:tcBorders>
              <w:top w:val="dotted" w:color="auto" w:sz="4" w:space="0"/>
              <w:left w:val="dotted" w:color="auto" w:sz="4" w:space="0"/>
              <w:bottom w:val="dotted" w:color="auto" w:sz="4" w:space="0"/>
              <w:right w:val="nil"/>
            </w:tcBorders>
            <w:vAlign w:val="center"/>
          </w:tcPr>
          <w:p w14:paraId="2D1090AF">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否</w:t>
            </w:r>
          </w:p>
        </w:tc>
      </w:tr>
      <w:tr w14:paraId="25911215">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jc w:val="center"/>
        </w:trPr>
        <w:tc>
          <w:tcPr>
            <w:tcW w:w="687" w:type="dxa"/>
            <w:vMerge w:val="continue"/>
            <w:tcBorders>
              <w:left w:val="nil"/>
              <w:right w:val="dotted" w:color="auto" w:sz="4" w:space="0"/>
            </w:tcBorders>
          </w:tcPr>
          <w:p w14:paraId="4E414FE8">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3AA3644D">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6</w:t>
            </w:r>
          </w:p>
        </w:tc>
        <w:tc>
          <w:tcPr>
            <w:tcW w:w="3353" w:type="dxa"/>
            <w:tcBorders>
              <w:top w:val="dotted" w:color="auto" w:sz="4" w:space="0"/>
              <w:left w:val="dotted" w:color="auto" w:sz="4" w:space="0"/>
              <w:bottom w:val="dotted" w:color="auto" w:sz="4" w:space="0"/>
              <w:right w:val="dotted" w:color="auto" w:sz="4" w:space="0"/>
            </w:tcBorders>
            <w:vAlign w:val="center"/>
          </w:tcPr>
          <w:p w14:paraId="294BC2D4">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一般公共预算收入</w:t>
            </w:r>
          </w:p>
        </w:tc>
        <w:tc>
          <w:tcPr>
            <w:tcW w:w="869" w:type="dxa"/>
            <w:tcBorders>
              <w:top w:val="dotted" w:color="auto" w:sz="4" w:space="0"/>
              <w:left w:val="dotted" w:color="auto" w:sz="4" w:space="0"/>
              <w:bottom w:val="dotted" w:color="auto" w:sz="4" w:space="0"/>
              <w:right w:val="dotted" w:color="auto" w:sz="4" w:space="0"/>
            </w:tcBorders>
            <w:vAlign w:val="center"/>
          </w:tcPr>
          <w:p w14:paraId="5A7E0539">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亿元</w:t>
            </w:r>
          </w:p>
        </w:tc>
        <w:tc>
          <w:tcPr>
            <w:tcW w:w="2104" w:type="dxa"/>
            <w:tcBorders>
              <w:top w:val="dotted" w:color="auto" w:sz="4" w:space="0"/>
              <w:left w:val="dotted" w:color="auto" w:sz="4" w:space="0"/>
              <w:bottom w:val="dotted" w:color="auto" w:sz="4" w:space="0"/>
              <w:right w:val="dotted" w:color="auto" w:sz="4" w:space="0"/>
            </w:tcBorders>
            <w:vAlign w:val="center"/>
          </w:tcPr>
          <w:p w14:paraId="2F9B3D1D">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增长2%左右</w:t>
            </w:r>
          </w:p>
        </w:tc>
        <w:tc>
          <w:tcPr>
            <w:tcW w:w="911" w:type="dxa"/>
            <w:tcBorders>
              <w:top w:val="dotted" w:color="auto" w:sz="4" w:space="0"/>
              <w:left w:val="dotted" w:color="auto" w:sz="4" w:space="0"/>
              <w:bottom w:val="dotted" w:color="auto" w:sz="4" w:space="0"/>
              <w:right w:val="dotted" w:color="auto" w:sz="4" w:space="0"/>
            </w:tcBorders>
            <w:vAlign w:val="center"/>
          </w:tcPr>
          <w:p w14:paraId="71846077">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29.24</w:t>
            </w:r>
          </w:p>
        </w:tc>
        <w:tc>
          <w:tcPr>
            <w:tcW w:w="806" w:type="dxa"/>
            <w:tcBorders>
              <w:top w:val="dotted" w:color="auto" w:sz="4" w:space="0"/>
              <w:left w:val="dotted" w:color="auto" w:sz="4" w:space="0"/>
              <w:bottom w:val="dotted" w:color="auto" w:sz="4" w:space="0"/>
              <w:right w:val="dotted" w:color="auto" w:sz="4" w:space="0"/>
            </w:tcBorders>
            <w:vAlign w:val="center"/>
          </w:tcPr>
          <w:p w14:paraId="7E75BAC0">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4.1</w:t>
            </w:r>
          </w:p>
        </w:tc>
        <w:tc>
          <w:tcPr>
            <w:tcW w:w="996" w:type="dxa"/>
            <w:tcBorders>
              <w:top w:val="dotted" w:color="auto" w:sz="4" w:space="0"/>
              <w:left w:val="dotted" w:color="auto" w:sz="4" w:space="0"/>
              <w:bottom w:val="dotted" w:color="auto" w:sz="4" w:space="0"/>
              <w:right w:val="nil"/>
            </w:tcBorders>
            <w:vAlign w:val="center"/>
          </w:tcPr>
          <w:p w14:paraId="058A4BF8">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485D408C">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exact"/>
          <w:jc w:val="center"/>
        </w:trPr>
        <w:tc>
          <w:tcPr>
            <w:tcW w:w="687" w:type="dxa"/>
            <w:vMerge w:val="restart"/>
            <w:tcBorders>
              <w:top w:val="dotted" w:color="auto" w:sz="4" w:space="0"/>
              <w:left w:val="nil"/>
              <w:right w:val="dotted" w:color="auto" w:sz="4" w:space="0"/>
            </w:tcBorders>
            <w:vAlign w:val="center"/>
          </w:tcPr>
          <w:p w14:paraId="496F70D1">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产业强区</w:t>
            </w:r>
          </w:p>
        </w:tc>
        <w:tc>
          <w:tcPr>
            <w:tcW w:w="621" w:type="dxa"/>
            <w:tcBorders>
              <w:top w:val="dotted" w:color="auto" w:sz="4" w:space="0"/>
              <w:left w:val="dotted" w:color="auto" w:sz="4" w:space="0"/>
              <w:bottom w:val="dotted" w:color="auto" w:sz="4" w:space="0"/>
              <w:right w:val="dotted" w:color="auto" w:sz="4" w:space="0"/>
            </w:tcBorders>
            <w:vAlign w:val="center"/>
          </w:tcPr>
          <w:p w14:paraId="5347DCD0">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7</w:t>
            </w:r>
          </w:p>
        </w:tc>
        <w:tc>
          <w:tcPr>
            <w:tcW w:w="3353" w:type="dxa"/>
            <w:tcBorders>
              <w:top w:val="dotted" w:color="auto" w:sz="4" w:space="0"/>
              <w:left w:val="dotted" w:color="auto" w:sz="4" w:space="0"/>
              <w:bottom w:val="dotted" w:color="auto" w:sz="4" w:space="0"/>
              <w:right w:val="dotted" w:color="auto" w:sz="4" w:space="0"/>
            </w:tcBorders>
            <w:vAlign w:val="center"/>
          </w:tcPr>
          <w:p w14:paraId="06EEFE11">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制造业增加值占地区生产总值比重</w:t>
            </w:r>
          </w:p>
        </w:tc>
        <w:tc>
          <w:tcPr>
            <w:tcW w:w="869" w:type="dxa"/>
            <w:tcBorders>
              <w:top w:val="dotted" w:color="auto" w:sz="4" w:space="0"/>
              <w:left w:val="dotted" w:color="auto" w:sz="4" w:space="0"/>
              <w:bottom w:val="dotted" w:color="auto" w:sz="4" w:space="0"/>
              <w:right w:val="dotted" w:color="auto" w:sz="4" w:space="0"/>
            </w:tcBorders>
            <w:vAlign w:val="center"/>
          </w:tcPr>
          <w:p w14:paraId="1995983D">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2104" w:type="dxa"/>
            <w:tcBorders>
              <w:top w:val="dotted" w:color="auto" w:sz="4" w:space="0"/>
              <w:left w:val="dotted" w:color="auto" w:sz="4" w:space="0"/>
              <w:bottom w:val="dotted" w:color="auto" w:sz="4" w:space="0"/>
              <w:right w:val="dotted" w:color="auto" w:sz="4" w:space="0"/>
            </w:tcBorders>
            <w:vAlign w:val="center"/>
          </w:tcPr>
          <w:p w14:paraId="1AFE0945">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提高1个百分点左右</w:t>
            </w:r>
          </w:p>
        </w:tc>
        <w:tc>
          <w:tcPr>
            <w:tcW w:w="1717" w:type="dxa"/>
            <w:gridSpan w:val="2"/>
            <w:tcBorders>
              <w:top w:val="dotted" w:color="auto" w:sz="4" w:space="0"/>
              <w:left w:val="dotted" w:color="auto" w:sz="4" w:space="0"/>
              <w:bottom w:val="dotted" w:color="auto" w:sz="4" w:space="0"/>
              <w:right w:val="nil"/>
            </w:tcBorders>
            <w:vAlign w:val="center"/>
          </w:tcPr>
          <w:p w14:paraId="1EB65CE2">
            <w:pPr>
              <w:spacing w:line="240" w:lineRule="exact"/>
              <w:jc w:val="center"/>
              <w:rPr>
                <w:rFonts w:ascii="Times New Roman" w:hAnsi="Times New Roman" w:eastAsia="方正仿宋简体" w:cs="Times New Roman"/>
                <w:sz w:val="20"/>
                <w:szCs w:val="20"/>
                <w:highlight w:val="none"/>
              </w:rPr>
            </w:pPr>
            <w:r>
              <w:rPr>
                <w:rFonts w:hint="eastAsia" w:ascii="Times New Roman" w:hAnsi="Times New Roman" w:eastAsia="方正仿宋简体" w:cs="Times New Roman"/>
                <w:sz w:val="20"/>
                <w:szCs w:val="20"/>
                <w:highlight w:val="none"/>
              </w:rPr>
              <w:t>提高1个百分点左右</w:t>
            </w:r>
          </w:p>
        </w:tc>
        <w:tc>
          <w:tcPr>
            <w:tcW w:w="996" w:type="dxa"/>
            <w:tcBorders>
              <w:top w:val="dotted" w:color="auto" w:sz="4" w:space="0"/>
              <w:left w:val="dotted" w:color="auto" w:sz="4" w:space="0"/>
              <w:bottom w:val="dotted" w:color="auto" w:sz="4" w:space="0"/>
              <w:right w:val="nil"/>
            </w:tcBorders>
            <w:vAlign w:val="center"/>
          </w:tcPr>
          <w:p w14:paraId="55160226">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61709FE9">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exact"/>
          <w:jc w:val="center"/>
        </w:trPr>
        <w:tc>
          <w:tcPr>
            <w:tcW w:w="687" w:type="dxa"/>
            <w:vMerge w:val="continue"/>
            <w:tcBorders>
              <w:left w:val="nil"/>
              <w:right w:val="dotted" w:color="auto" w:sz="4" w:space="0"/>
            </w:tcBorders>
          </w:tcPr>
          <w:p w14:paraId="3C822568">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67E1EBDB">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8</w:t>
            </w:r>
          </w:p>
        </w:tc>
        <w:tc>
          <w:tcPr>
            <w:tcW w:w="3353" w:type="dxa"/>
            <w:tcBorders>
              <w:top w:val="dotted" w:color="auto" w:sz="4" w:space="0"/>
              <w:left w:val="dotted" w:color="auto" w:sz="4" w:space="0"/>
              <w:bottom w:val="dotted" w:color="auto" w:sz="4" w:space="0"/>
              <w:right w:val="dotted" w:color="auto" w:sz="4" w:space="0"/>
            </w:tcBorders>
            <w:vAlign w:val="center"/>
          </w:tcPr>
          <w:p w14:paraId="61223208">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工业战略性新兴产业总产值占工业总产值比重</w:t>
            </w:r>
          </w:p>
        </w:tc>
        <w:tc>
          <w:tcPr>
            <w:tcW w:w="869" w:type="dxa"/>
            <w:tcBorders>
              <w:top w:val="dotted" w:color="auto" w:sz="4" w:space="0"/>
              <w:left w:val="dotted" w:color="auto" w:sz="4" w:space="0"/>
              <w:bottom w:val="dotted" w:color="auto" w:sz="4" w:space="0"/>
              <w:right w:val="dotted" w:color="auto" w:sz="4" w:space="0"/>
            </w:tcBorders>
            <w:vAlign w:val="center"/>
          </w:tcPr>
          <w:p w14:paraId="77E6584F">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2104" w:type="dxa"/>
            <w:tcBorders>
              <w:top w:val="dotted" w:color="auto" w:sz="4" w:space="0"/>
              <w:left w:val="dotted" w:color="auto" w:sz="4" w:space="0"/>
              <w:bottom w:val="dotted" w:color="auto" w:sz="4" w:space="0"/>
              <w:right w:val="dotted" w:color="auto" w:sz="4" w:space="0"/>
            </w:tcBorders>
            <w:vAlign w:val="center"/>
          </w:tcPr>
          <w:p w14:paraId="5AD6D51F">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43</w:t>
            </w:r>
          </w:p>
        </w:tc>
        <w:tc>
          <w:tcPr>
            <w:tcW w:w="2713" w:type="dxa"/>
            <w:gridSpan w:val="3"/>
            <w:tcBorders>
              <w:top w:val="dotted" w:color="auto" w:sz="4" w:space="0"/>
              <w:left w:val="dotted" w:color="auto" w:sz="4" w:space="0"/>
              <w:bottom w:val="dotted" w:color="auto" w:sz="4" w:space="0"/>
              <w:right w:val="nil"/>
            </w:tcBorders>
            <w:vAlign w:val="center"/>
          </w:tcPr>
          <w:p w14:paraId="7EBADB01">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年度指标</w:t>
            </w:r>
          </w:p>
        </w:tc>
      </w:tr>
      <w:tr w14:paraId="5B2E1AD5">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jc w:val="center"/>
        </w:trPr>
        <w:tc>
          <w:tcPr>
            <w:tcW w:w="687" w:type="dxa"/>
            <w:vMerge w:val="continue"/>
            <w:tcBorders>
              <w:left w:val="nil"/>
              <w:right w:val="dotted" w:color="auto" w:sz="4" w:space="0"/>
            </w:tcBorders>
          </w:tcPr>
          <w:p w14:paraId="38B392E0">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5C165E0F">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9</w:t>
            </w:r>
          </w:p>
        </w:tc>
        <w:tc>
          <w:tcPr>
            <w:tcW w:w="3353" w:type="dxa"/>
            <w:tcBorders>
              <w:top w:val="dotted" w:color="auto" w:sz="4" w:space="0"/>
              <w:left w:val="dotted" w:color="auto" w:sz="4" w:space="0"/>
              <w:bottom w:val="dotted" w:color="auto" w:sz="4" w:space="0"/>
              <w:right w:val="dotted" w:color="auto" w:sz="4" w:space="0"/>
            </w:tcBorders>
            <w:vAlign w:val="center"/>
          </w:tcPr>
          <w:p w14:paraId="6123589D">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生产性服务业增加值占服务业比重</w:t>
            </w:r>
          </w:p>
        </w:tc>
        <w:tc>
          <w:tcPr>
            <w:tcW w:w="869" w:type="dxa"/>
            <w:tcBorders>
              <w:top w:val="dotted" w:color="auto" w:sz="4" w:space="0"/>
              <w:left w:val="dotted" w:color="auto" w:sz="4" w:space="0"/>
              <w:bottom w:val="dotted" w:color="auto" w:sz="4" w:space="0"/>
              <w:right w:val="dotted" w:color="auto" w:sz="4" w:space="0"/>
            </w:tcBorders>
            <w:vAlign w:val="center"/>
          </w:tcPr>
          <w:p w14:paraId="240B5FD8">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2104" w:type="dxa"/>
            <w:tcBorders>
              <w:top w:val="dotted" w:color="auto" w:sz="4" w:space="0"/>
              <w:left w:val="dotted" w:color="auto" w:sz="4" w:space="0"/>
              <w:bottom w:val="dotted" w:color="auto" w:sz="4" w:space="0"/>
              <w:right w:val="dotted" w:color="auto" w:sz="4" w:space="0"/>
            </w:tcBorders>
            <w:vAlign w:val="center"/>
          </w:tcPr>
          <w:p w14:paraId="6368AF05">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达市定目标</w:t>
            </w:r>
          </w:p>
        </w:tc>
        <w:tc>
          <w:tcPr>
            <w:tcW w:w="2713" w:type="dxa"/>
            <w:gridSpan w:val="3"/>
            <w:tcBorders>
              <w:top w:val="dotted" w:color="auto" w:sz="4" w:space="0"/>
              <w:left w:val="dotted" w:color="auto" w:sz="4" w:space="0"/>
              <w:bottom w:val="dotted" w:color="auto" w:sz="4" w:space="0"/>
              <w:right w:val="nil"/>
            </w:tcBorders>
            <w:vAlign w:val="center"/>
          </w:tcPr>
          <w:p w14:paraId="420F2C95">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年度指标</w:t>
            </w:r>
          </w:p>
        </w:tc>
      </w:tr>
      <w:tr w14:paraId="50CCBABC">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exact"/>
          <w:jc w:val="center"/>
        </w:trPr>
        <w:tc>
          <w:tcPr>
            <w:tcW w:w="687" w:type="dxa"/>
            <w:vMerge w:val="continue"/>
            <w:tcBorders>
              <w:left w:val="nil"/>
              <w:right w:val="dotted" w:color="auto" w:sz="4" w:space="0"/>
            </w:tcBorders>
          </w:tcPr>
          <w:p w14:paraId="12C83AE4">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26880AAE">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10</w:t>
            </w:r>
          </w:p>
        </w:tc>
        <w:tc>
          <w:tcPr>
            <w:tcW w:w="3353" w:type="dxa"/>
            <w:tcBorders>
              <w:top w:val="dotted" w:color="auto" w:sz="4" w:space="0"/>
              <w:left w:val="dotted" w:color="auto" w:sz="4" w:space="0"/>
              <w:bottom w:val="dotted" w:color="auto" w:sz="4" w:space="0"/>
              <w:right w:val="dotted" w:color="auto" w:sz="4" w:space="0"/>
            </w:tcBorders>
            <w:vAlign w:val="center"/>
          </w:tcPr>
          <w:p w14:paraId="4C0E847C">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新增省级以上专精特新企业数</w:t>
            </w:r>
          </w:p>
        </w:tc>
        <w:tc>
          <w:tcPr>
            <w:tcW w:w="869" w:type="dxa"/>
            <w:tcBorders>
              <w:top w:val="dotted" w:color="auto" w:sz="4" w:space="0"/>
              <w:left w:val="dotted" w:color="auto" w:sz="4" w:space="0"/>
              <w:bottom w:val="dotted" w:color="auto" w:sz="4" w:space="0"/>
              <w:right w:val="dotted" w:color="auto" w:sz="4" w:space="0"/>
            </w:tcBorders>
            <w:vAlign w:val="center"/>
          </w:tcPr>
          <w:p w14:paraId="63FD69A1">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家</w:t>
            </w:r>
          </w:p>
        </w:tc>
        <w:tc>
          <w:tcPr>
            <w:tcW w:w="2104" w:type="dxa"/>
            <w:tcBorders>
              <w:top w:val="dotted" w:color="auto" w:sz="4" w:space="0"/>
              <w:left w:val="dotted" w:color="auto" w:sz="4" w:space="0"/>
              <w:bottom w:val="dotted" w:color="auto" w:sz="4" w:space="0"/>
              <w:right w:val="dotted" w:color="auto" w:sz="4" w:space="0"/>
            </w:tcBorders>
            <w:vAlign w:val="center"/>
          </w:tcPr>
          <w:p w14:paraId="0BCA2480">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达市定目标</w:t>
            </w:r>
          </w:p>
        </w:tc>
        <w:tc>
          <w:tcPr>
            <w:tcW w:w="911" w:type="dxa"/>
            <w:tcBorders>
              <w:top w:val="dotted" w:color="auto" w:sz="4" w:space="0"/>
              <w:left w:val="dotted" w:color="auto" w:sz="4" w:space="0"/>
              <w:bottom w:val="dotted" w:color="auto" w:sz="4" w:space="0"/>
              <w:right w:val="nil"/>
            </w:tcBorders>
            <w:vAlign w:val="center"/>
          </w:tcPr>
          <w:p w14:paraId="64E70243">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6</w:t>
            </w:r>
          </w:p>
        </w:tc>
        <w:tc>
          <w:tcPr>
            <w:tcW w:w="806" w:type="dxa"/>
            <w:tcBorders>
              <w:top w:val="dotted" w:color="auto" w:sz="4" w:space="0"/>
              <w:left w:val="dotted" w:color="auto" w:sz="4" w:space="0"/>
              <w:bottom w:val="dotted" w:color="auto" w:sz="4" w:space="0"/>
              <w:right w:val="nil"/>
            </w:tcBorders>
            <w:vAlign w:val="center"/>
          </w:tcPr>
          <w:p w14:paraId="0D4EB449">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996" w:type="dxa"/>
            <w:tcBorders>
              <w:top w:val="dotted" w:color="auto" w:sz="4" w:space="0"/>
              <w:left w:val="dotted" w:color="auto" w:sz="4" w:space="0"/>
              <w:bottom w:val="dotted" w:color="auto" w:sz="4" w:space="0"/>
              <w:right w:val="nil"/>
            </w:tcBorders>
            <w:vAlign w:val="center"/>
          </w:tcPr>
          <w:p w14:paraId="1F67163C">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7366F17F">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exact"/>
          <w:jc w:val="center"/>
        </w:trPr>
        <w:tc>
          <w:tcPr>
            <w:tcW w:w="687" w:type="dxa"/>
            <w:vMerge w:val="continue"/>
            <w:tcBorders>
              <w:left w:val="nil"/>
              <w:right w:val="dotted" w:color="auto" w:sz="4" w:space="0"/>
            </w:tcBorders>
            <w:vAlign w:val="center"/>
          </w:tcPr>
          <w:p w14:paraId="5924AE50">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6F40221B">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11</w:t>
            </w:r>
          </w:p>
        </w:tc>
        <w:tc>
          <w:tcPr>
            <w:tcW w:w="3353" w:type="dxa"/>
            <w:tcBorders>
              <w:top w:val="dotted" w:color="auto" w:sz="4" w:space="0"/>
              <w:left w:val="dotted" w:color="auto" w:sz="4" w:space="0"/>
              <w:bottom w:val="dotted" w:color="auto" w:sz="4" w:space="0"/>
              <w:right w:val="dotted" w:color="auto" w:sz="4" w:space="0"/>
            </w:tcBorders>
            <w:vAlign w:val="center"/>
          </w:tcPr>
          <w:p w14:paraId="0A6946FF">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培育创建智能工厂数</w:t>
            </w:r>
          </w:p>
        </w:tc>
        <w:tc>
          <w:tcPr>
            <w:tcW w:w="869" w:type="dxa"/>
            <w:tcBorders>
              <w:top w:val="dotted" w:color="auto" w:sz="4" w:space="0"/>
              <w:left w:val="dotted" w:color="auto" w:sz="4" w:space="0"/>
              <w:bottom w:val="dotted" w:color="auto" w:sz="4" w:space="0"/>
              <w:right w:val="dotted" w:color="auto" w:sz="4" w:space="0"/>
            </w:tcBorders>
            <w:vAlign w:val="center"/>
          </w:tcPr>
          <w:p w14:paraId="03D54862">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家</w:t>
            </w:r>
          </w:p>
        </w:tc>
        <w:tc>
          <w:tcPr>
            <w:tcW w:w="2104" w:type="dxa"/>
            <w:tcBorders>
              <w:top w:val="dotted" w:color="auto" w:sz="4" w:space="0"/>
              <w:left w:val="dotted" w:color="auto" w:sz="4" w:space="0"/>
              <w:bottom w:val="dotted" w:color="auto" w:sz="4" w:space="0"/>
              <w:right w:val="dotted" w:color="auto" w:sz="4" w:space="0"/>
            </w:tcBorders>
            <w:vAlign w:val="center"/>
          </w:tcPr>
          <w:p w14:paraId="28467D5E">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达市定目标</w:t>
            </w:r>
          </w:p>
        </w:tc>
        <w:tc>
          <w:tcPr>
            <w:tcW w:w="911" w:type="dxa"/>
            <w:tcBorders>
              <w:top w:val="dotted" w:color="auto" w:sz="4" w:space="0"/>
              <w:left w:val="dotted" w:color="auto" w:sz="4" w:space="0"/>
              <w:bottom w:val="dotted" w:color="auto" w:sz="4" w:space="0"/>
              <w:right w:val="nil"/>
            </w:tcBorders>
            <w:vAlign w:val="center"/>
          </w:tcPr>
          <w:p w14:paraId="3344479B">
            <w:pPr>
              <w:spacing w:line="240" w:lineRule="exact"/>
              <w:jc w:val="center"/>
              <w:rPr>
                <w:rFonts w:ascii="Times New Roman" w:hAnsi="Times New Roman" w:eastAsia="方正仿宋简体" w:cs="Times New Roman"/>
                <w:sz w:val="20"/>
                <w:szCs w:val="20"/>
                <w:highlight w:val="none"/>
              </w:rPr>
            </w:pPr>
            <w:r>
              <w:rPr>
                <w:rFonts w:hint="eastAsia" w:ascii="Times New Roman" w:hAnsi="Times New Roman" w:eastAsia="方正仿宋简体" w:cs="Times New Roman"/>
                <w:sz w:val="20"/>
                <w:szCs w:val="20"/>
                <w:highlight w:val="none"/>
              </w:rPr>
              <w:t>20</w:t>
            </w:r>
          </w:p>
        </w:tc>
        <w:tc>
          <w:tcPr>
            <w:tcW w:w="806" w:type="dxa"/>
            <w:tcBorders>
              <w:top w:val="dotted" w:color="auto" w:sz="4" w:space="0"/>
              <w:left w:val="dotted" w:color="auto" w:sz="4" w:space="0"/>
              <w:bottom w:val="dotted" w:color="auto" w:sz="4" w:space="0"/>
              <w:right w:val="nil"/>
            </w:tcBorders>
            <w:vAlign w:val="center"/>
          </w:tcPr>
          <w:p w14:paraId="5D7BD196">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996" w:type="dxa"/>
            <w:tcBorders>
              <w:top w:val="dotted" w:color="auto" w:sz="4" w:space="0"/>
              <w:left w:val="dotted" w:color="auto" w:sz="4" w:space="0"/>
              <w:bottom w:val="dotted" w:color="auto" w:sz="4" w:space="0"/>
              <w:right w:val="nil"/>
            </w:tcBorders>
            <w:vAlign w:val="center"/>
          </w:tcPr>
          <w:p w14:paraId="72243DE2">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3AAC0363">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exact"/>
          <w:jc w:val="center"/>
        </w:trPr>
        <w:tc>
          <w:tcPr>
            <w:tcW w:w="687" w:type="dxa"/>
            <w:vMerge w:val="continue"/>
            <w:tcBorders>
              <w:left w:val="nil"/>
              <w:bottom w:val="dotted" w:color="auto" w:sz="4" w:space="0"/>
              <w:right w:val="dotted" w:color="auto" w:sz="4" w:space="0"/>
            </w:tcBorders>
            <w:vAlign w:val="center"/>
          </w:tcPr>
          <w:p w14:paraId="4F4B92A4">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21458103">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12</w:t>
            </w:r>
          </w:p>
        </w:tc>
        <w:tc>
          <w:tcPr>
            <w:tcW w:w="3353" w:type="dxa"/>
            <w:tcBorders>
              <w:top w:val="dotted" w:color="auto" w:sz="4" w:space="0"/>
              <w:left w:val="dotted" w:color="auto" w:sz="4" w:space="0"/>
              <w:bottom w:val="dotted" w:color="auto" w:sz="4" w:space="0"/>
              <w:right w:val="dotted" w:color="auto" w:sz="4" w:space="0"/>
            </w:tcBorders>
            <w:vAlign w:val="center"/>
          </w:tcPr>
          <w:p w14:paraId="027304FE">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规上数字经济核心产业营业收入增速</w:t>
            </w:r>
          </w:p>
        </w:tc>
        <w:tc>
          <w:tcPr>
            <w:tcW w:w="869" w:type="dxa"/>
            <w:tcBorders>
              <w:top w:val="dotted" w:color="auto" w:sz="4" w:space="0"/>
              <w:left w:val="dotted" w:color="auto" w:sz="4" w:space="0"/>
              <w:bottom w:val="dotted" w:color="auto" w:sz="4" w:space="0"/>
              <w:right w:val="dotted" w:color="auto" w:sz="4" w:space="0"/>
            </w:tcBorders>
            <w:vAlign w:val="center"/>
          </w:tcPr>
          <w:p w14:paraId="119340E5">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2104" w:type="dxa"/>
            <w:tcBorders>
              <w:top w:val="dotted" w:color="auto" w:sz="4" w:space="0"/>
              <w:left w:val="dotted" w:color="auto" w:sz="4" w:space="0"/>
              <w:bottom w:val="dotted" w:color="auto" w:sz="4" w:space="0"/>
              <w:right w:val="dotted" w:color="auto" w:sz="4" w:space="0"/>
            </w:tcBorders>
            <w:vAlign w:val="center"/>
          </w:tcPr>
          <w:p w14:paraId="592D42A5">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达市定目标</w:t>
            </w:r>
          </w:p>
        </w:tc>
        <w:tc>
          <w:tcPr>
            <w:tcW w:w="2713" w:type="dxa"/>
            <w:gridSpan w:val="3"/>
            <w:tcBorders>
              <w:top w:val="dotted" w:color="auto" w:sz="4" w:space="0"/>
              <w:left w:val="dotted" w:color="auto" w:sz="4" w:space="0"/>
              <w:bottom w:val="dotted" w:color="auto" w:sz="4" w:space="0"/>
              <w:right w:val="nil"/>
            </w:tcBorders>
            <w:vAlign w:val="center"/>
          </w:tcPr>
          <w:p w14:paraId="3862A04A">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年度指标</w:t>
            </w:r>
          </w:p>
        </w:tc>
      </w:tr>
      <w:tr w14:paraId="16741E96">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exact"/>
          <w:jc w:val="center"/>
        </w:trPr>
        <w:tc>
          <w:tcPr>
            <w:tcW w:w="687" w:type="dxa"/>
            <w:vMerge w:val="restart"/>
            <w:tcBorders>
              <w:top w:val="dotted" w:color="auto" w:sz="4" w:space="0"/>
              <w:left w:val="nil"/>
              <w:right w:val="dotted" w:color="auto" w:sz="4" w:space="0"/>
            </w:tcBorders>
            <w:vAlign w:val="center"/>
          </w:tcPr>
          <w:p w14:paraId="740AB1E5">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创新驱动</w:t>
            </w:r>
          </w:p>
        </w:tc>
        <w:tc>
          <w:tcPr>
            <w:tcW w:w="621" w:type="dxa"/>
            <w:tcBorders>
              <w:top w:val="dotted" w:color="auto" w:sz="4" w:space="0"/>
              <w:left w:val="dotted" w:color="auto" w:sz="4" w:space="0"/>
              <w:bottom w:val="dotted" w:color="auto" w:sz="4" w:space="0"/>
              <w:right w:val="dotted" w:color="auto" w:sz="4" w:space="0"/>
            </w:tcBorders>
            <w:vAlign w:val="center"/>
          </w:tcPr>
          <w:p w14:paraId="5957A297">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13</w:t>
            </w:r>
          </w:p>
        </w:tc>
        <w:tc>
          <w:tcPr>
            <w:tcW w:w="3353" w:type="dxa"/>
            <w:tcBorders>
              <w:top w:val="dotted" w:color="auto" w:sz="4" w:space="0"/>
              <w:left w:val="dotted" w:color="auto" w:sz="4" w:space="0"/>
              <w:bottom w:val="dotted" w:color="auto" w:sz="4" w:space="0"/>
              <w:right w:val="dotted" w:color="auto" w:sz="4" w:space="0"/>
            </w:tcBorders>
            <w:vAlign w:val="center"/>
          </w:tcPr>
          <w:p w14:paraId="12055333">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有效期内高新技术企业总数</w:t>
            </w:r>
          </w:p>
        </w:tc>
        <w:tc>
          <w:tcPr>
            <w:tcW w:w="869" w:type="dxa"/>
            <w:tcBorders>
              <w:top w:val="dotted" w:color="auto" w:sz="4" w:space="0"/>
              <w:left w:val="dotted" w:color="auto" w:sz="4" w:space="0"/>
              <w:bottom w:val="dotted" w:color="auto" w:sz="4" w:space="0"/>
              <w:right w:val="dotted" w:color="auto" w:sz="4" w:space="0"/>
            </w:tcBorders>
            <w:vAlign w:val="center"/>
          </w:tcPr>
          <w:p w14:paraId="715584EB">
            <w:pPr>
              <w:spacing w:line="240" w:lineRule="exact"/>
              <w:jc w:val="center"/>
              <w:rPr>
                <w:rFonts w:ascii="Times New Roman" w:hAnsi="Times New Roman" w:eastAsia="方正仿宋简体" w:cs="Times New Roman"/>
                <w:sz w:val="24"/>
                <w:highlight w:val="none"/>
              </w:rPr>
            </w:pPr>
            <w:r>
              <w:rPr>
                <w:rFonts w:ascii="Times New Roman" w:hAnsi="Times New Roman" w:eastAsia="方正仿宋简体" w:cs="Times New Roman"/>
                <w:sz w:val="20"/>
                <w:szCs w:val="20"/>
                <w:highlight w:val="none"/>
              </w:rPr>
              <w:t>家</w:t>
            </w:r>
          </w:p>
        </w:tc>
        <w:tc>
          <w:tcPr>
            <w:tcW w:w="2104" w:type="dxa"/>
            <w:tcBorders>
              <w:top w:val="dotted" w:color="auto" w:sz="4" w:space="0"/>
              <w:left w:val="dotted" w:color="auto" w:sz="4" w:space="0"/>
              <w:bottom w:val="dotted" w:color="auto" w:sz="4" w:space="0"/>
              <w:right w:val="dotted" w:color="auto" w:sz="4" w:space="0"/>
            </w:tcBorders>
            <w:vAlign w:val="center"/>
          </w:tcPr>
          <w:p w14:paraId="78D930D1">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450</w:t>
            </w:r>
          </w:p>
        </w:tc>
        <w:tc>
          <w:tcPr>
            <w:tcW w:w="2713" w:type="dxa"/>
            <w:gridSpan w:val="3"/>
            <w:tcBorders>
              <w:top w:val="dotted" w:color="auto" w:sz="4" w:space="0"/>
              <w:left w:val="dotted" w:color="auto" w:sz="4" w:space="0"/>
              <w:bottom w:val="dotted" w:color="auto" w:sz="4" w:space="0"/>
              <w:right w:val="nil"/>
            </w:tcBorders>
            <w:vAlign w:val="center"/>
          </w:tcPr>
          <w:p w14:paraId="3F32AF19">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年度指标</w:t>
            </w:r>
          </w:p>
        </w:tc>
      </w:tr>
      <w:tr w14:paraId="27C5C336">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exact"/>
          <w:jc w:val="center"/>
        </w:trPr>
        <w:tc>
          <w:tcPr>
            <w:tcW w:w="687" w:type="dxa"/>
            <w:vMerge w:val="continue"/>
            <w:tcBorders>
              <w:left w:val="nil"/>
              <w:right w:val="dotted" w:color="auto" w:sz="4" w:space="0"/>
            </w:tcBorders>
            <w:vAlign w:val="center"/>
          </w:tcPr>
          <w:p w14:paraId="7FC6256C">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6F96A4A1">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14</w:t>
            </w:r>
          </w:p>
        </w:tc>
        <w:tc>
          <w:tcPr>
            <w:tcW w:w="3353" w:type="dxa"/>
            <w:tcBorders>
              <w:top w:val="dotted" w:color="auto" w:sz="4" w:space="0"/>
              <w:left w:val="dotted" w:color="auto" w:sz="4" w:space="0"/>
              <w:bottom w:val="dotted" w:color="auto" w:sz="4" w:space="0"/>
              <w:right w:val="dotted" w:color="auto" w:sz="4" w:space="0"/>
            </w:tcBorders>
            <w:vAlign w:val="center"/>
          </w:tcPr>
          <w:p w14:paraId="0136B332">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全社会研发经费支出占地区生产总值比重</w:t>
            </w:r>
          </w:p>
        </w:tc>
        <w:tc>
          <w:tcPr>
            <w:tcW w:w="869" w:type="dxa"/>
            <w:tcBorders>
              <w:top w:val="dotted" w:color="auto" w:sz="4" w:space="0"/>
              <w:left w:val="dotted" w:color="auto" w:sz="4" w:space="0"/>
              <w:bottom w:val="dotted" w:color="auto" w:sz="4" w:space="0"/>
              <w:right w:val="dotted" w:color="auto" w:sz="4" w:space="0"/>
            </w:tcBorders>
            <w:vAlign w:val="center"/>
          </w:tcPr>
          <w:p w14:paraId="2A853EA3">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2104" w:type="dxa"/>
            <w:tcBorders>
              <w:top w:val="dotted" w:color="auto" w:sz="4" w:space="0"/>
              <w:left w:val="dotted" w:color="auto" w:sz="4" w:space="0"/>
              <w:bottom w:val="dotted" w:color="auto" w:sz="4" w:space="0"/>
              <w:right w:val="dotted" w:color="auto" w:sz="4" w:space="0"/>
            </w:tcBorders>
            <w:vAlign w:val="center"/>
          </w:tcPr>
          <w:p w14:paraId="54C0B2E7">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提高0.1个百分点</w:t>
            </w:r>
          </w:p>
        </w:tc>
        <w:tc>
          <w:tcPr>
            <w:tcW w:w="2713" w:type="dxa"/>
            <w:gridSpan w:val="3"/>
            <w:tcBorders>
              <w:top w:val="dotted" w:color="auto" w:sz="4" w:space="0"/>
              <w:left w:val="dotted" w:color="auto" w:sz="4" w:space="0"/>
              <w:bottom w:val="dotted" w:color="auto" w:sz="4" w:space="0"/>
              <w:right w:val="nil"/>
            </w:tcBorders>
            <w:vAlign w:val="center"/>
          </w:tcPr>
          <w:p w14:paraId="7F9C3C64">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年度指标</w:t>
            </w:r>
          </w:p>
        </w:tc>
      </w:tr>
      <w:tr w14:paraId="65F09987">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exact"/>
          <w:jc w:val="center"/>
        </w:trPr>
        <w:tc>
          <w:tcPr>
            <w:tcW w:w="687" w:type="dxa"/>
            <w:vMerge w:val="continue"/>
            <w:tcBorders>
              <w:left w:val="nil"/>
              <w:right w:val="dotted" w:color="auto" w:sz="4" w:space="0"/>
            </w:tcBorders>
            <w:vAlign w:val="center"/>
          </w:tcPr>
          <w:p w14:paraId="68DEC442">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451C096B">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15</w:t>
            </w:r>
          </w:p>
        </w:tc>
        <w:tc>
          <w:tcPr>
            <w:tcW w:w="3353" w:type="dxa"/>
            <w:tcBorders>
              <w:top w:val="dotted" w:color="auto" w:sz="4" w:space="0"/>
              <w:left w:val="dotted" w:color="auto" w:sz="4" w:space="0"/>
              <w:bottom w:val="dotted" w:color="auto" w:sz="4" w:space="0"/>
              <w:right w:val="dotted" w:color="auto" w:sz="4" w:space="0"/>
            </w:tcBorders>
            <w:vAlign w:val="center"/>
          </w:tcPr>
          <w:p w14:paraId="5FA227DC">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技术合同成交额</w:t>
            </w:r>
          </w:p>
        </w:tc>
        <w:tc>
          <w:tcPr>
            <w:tcW w:w="869" w:type="dxa"/>
            <w:tcBorders>
              <w:top w:val="dotted" w:color="auto" w:sz="4" w:space="0"/>
              <w:left w:val="dotted" w:color="auto" w:sz="4" w:space="0"/>
              <w:bottom w:val="dotted" w:color="auto" w:sz="4" w:space="0"/>
              <w:right w:val="dotted" w:color="auto" w:sz="4" w:space="0"/>
            </w:tcBorders>
            <w:vAlign w:val="center"/>
          </w:tcPr>
          <w:p w14:paraId="6AE00287">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亿元</w:t>
            </w:r>
          </w:p>
        </w:tc>
        <w:tc>
          <w:tcPr>
            <w:tcW w:w="2104" w:type="dxa"/>
            <w:tcBorders>
              <w:top w:val="dotted" w:color="auto" w:sz="4" w:space="0"/>
              <w:left w:val="dotted" w:color="auto" w:sz="4" w:space="0"/>
              <w:bottom w:val="dotted" w:color="auto" w:sz="4" w:space="0"/>
              <w:right w:val="dotted" w:color="auto" w:sz="4" w:space="0"/>
            </w:tcBorders>
            <w:vAlign w:val="center"/>
          </w:tcPr>
          <w:p w14:paraId="2ECDEC8E">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23</w:t>
            </w:r>
          </w:p>
        </w:tc>
        <w:tc>
          <w:tcPr>
            <w:tcW w:w="911" w:type="dxa"/>
            <w:tcBorders>
              <w:top w:val="dotted" w:color="auto" w:sz="4" w:space="0"/>
              <w:left w:val="dotted" w:color="auto" w:sz="4" w:space="0"/>
              <w:bottom w:val="dotted" w:color="auto" w:sz="4" w:space="0"/>
              <w:right w:val="dotted" w:color="auto" w:sz="4" w:space="0"/>
            </w:tcBorders>
            <w:vAlign w:val="center"/>
          </w:tcPr>
          <w:p w14:paraId="2CF8D2A3">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6.95</w:t>
            </w:r>
          </w:p>
        </w:tc>
        <w:tc>
          <w:tcPr>
            <w:tcW w:w="806" w:type="dxa"/>
            <w:tcBorders>
              <w:top w:val="dotted" w:color="auto" w:sz="4" w:space="0"/>
              <w:left w:val="dotted" w:color="auto" w:sz="4" w:space="0"/>
              <w:bottom w:val="dotted" w:color="auto" w:sz="4" w:space="0"/>
              <w:right w:val="dotted" w:color="auto" w:sz="4" w:space="0"/>
            </w:tcBorders>
            <w:vAlign w:val="center"/>
          </w:tcPr>
          <w:p w14:paraId="60B582E4">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996" w:type="dxa"/>
            <w:tcBorders>
              <w:top w:val="dotted" w:color="auto" w:sz="4" w:space="0"/>
              <w:left w:val="dotted" w:color="auto" w:sz="4" w:space="0"/>
              <w:bottom w:val="dotted" w:color="auto" w:sz="4" w:space="0"/>
              <w:right w:val="nil"/>
            </w:tcBorders>
            <w:vAlign w:val="center"/>
          </w:tcPr>
          <w:p w14:paraId="2E6B5034">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否</w:t>
            </w:r>
          </w:p>
        </w:tc>
      </w:tr>
      <w:tr w14:paraId="7A93AB68">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jc w:val="center"/>
        </w:trPr>
        <w:tc>
          <w:tcPr>
            <w:tcW w:w="687" w:type="dxa"/>
            <w:vMerge w:val="continue"/>
            <w:tcBorders>
              <w:left w:val="nil"/>
              <w:right w:val="dotted" w:color="auto" w:sz="4" w:space="0"/>
            </w:tcBorders>
            <w:vAlign w:val="center"/>
          </w:tcPr>
          <w:p w14:paraId="5A3ECA8D">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35ED5C63">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16</w:t>
            </w:r>
          </w:p>
        </w:tc>
        <w:tc>
          <w:tcPr>
            <w:tcW w:w="3353" w:type="dxa"/>
            <w:tcBorders>
              <w:top w:val="dotted" w:color="auto" w:sz="4" w:space="0"/>
              <w:left w:val="dotted" w:color="auto" w:sz="4" w:space="0"/>
              <w:bottom w:val="dotted" w:color="auto" w:sz="4" w:space="0"/>
              <w:right w:val="dotted" w:color="auto" w:sz="4" w:space="0"/>
            </w:tcBorders>
            <w:vAlign w:val="center"/>
          </w:tcPr>
          <w:p w14:paraId="6DFE21A5">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高新技术产业产值占规模以上工业总产值比重</w:t>
            </w:r>
          </w:p>
        </w:tc>
        <w:tc>
          <w:tcPr>
            <w:tcW w:w="869" w:type="dxa"/>
            <w:tcBorders>
              <w:top w:val="dotted" w:color="auto" w:sz="4" w:space="0"/>
              <w:left w:val="dotted" w:color="auto" w:sz="4" w:space="0"/>
              <w:bottom w:val="dotted" w:color="auto" w:sz="4" w:space="0"/>
              <w:right w:val="dotted" w:color="auto" w:sz="4" w:space="0"/>
            </w:tcBorders>
            <w:vAlign w:val="center"/>
          </w:tcPr>
          <w:p w14:paraId="495DB56C">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2104" w:type="dxa"/>
            <w:tcBorders>
              <w:top w:val="dotted" w:color="auto" w:sz="4" w:space="0"/>
              <w:left w:val="dotted" w:color="auto" w:sz="4" w:space="0"/>
              <w:bottom w:val="dotted" w:color="auto" w:sz="4" w:space="0"/>
              <w:right w:val="dotted" w:color="auto" w:sz="4" w:space="0"/>
            </w:tcBorders>
            <w:vAlign w:val="center"/>
          </w:tcPr>
          <w:p w14:paraId="2B05BB17">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58</w:t>
            </w:r>
          </w:p>
        </w:tc>
        <w:tc>
          <w:tcPr>
            <w:tcW w:w="911" w:type="dxa"/>
            <w:tcBorders>
              <w:top w:val="dotted" w:color="auto" w:sz="4" w:space="0"/>
              <w:left w:val="dotted" w:color="auto" w:sz="4" w:space="0"/>
              <w:bottom w:val="dotted" w:color="auto" w:sz="4" w:space="0"/>
              <w:right w:val="nil"/>
            </w:tcBorders>
            <w:vAlign w:val="center"/>
          </w:tcPr>
          <w:p w14:paraId="15E72671">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69.9</w:t>
            </w:r>
          </w:p>
        </w:tc>
        <w:tc>
          <w:tcPr>
            <w:tcW w:w="806" w:type="dxa"/>
            <w:tcBorders>
              <w:top w:val="dotted" w:color="auto" w:sz="4" w:space="0"/>
              <w:left w:val="dotted" w:color="auto" w:sz="4" w:space="0"/>
              <w:bottom w:val="dotted" w:color="auto" w:sz="4" w:space="0"/>
              <w:right w:val="nil"/>
            </w:tcBorders>
            <w:vAlign w:val="center"/>
          </w:tcPr>
          <w:p w14:paraId="5FBA82A8">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996" w:type="dxa"/>
            <w:tcBorders>
              <w:top w:val="dotted" w:color="auto" w:sz="4" w:space="0"/>
              <w:left w:val="dotted" w:color="auto" w:sz="4" w:space="0"/>
              <w:bottom w:val="dotted" w:color="auto" w:sz="4" w:space="0"/>
              <w:right w:val="nil"/>
            </w:tcBorders>
            <w:vAlign w:val="center"/>
          </w:tcPr>
          <w:p w14:paraId="11335D6C">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6C35243A">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exact"/>
          <w:jc w:val="center"/>
        </w:trPr>
        <w:tc>
          <w:tcPr>
            <w:tcW w:w="687" w:type="dxa"/>
            <w:vMerge w:val="continue"/>
            <w:tcBorders>
              <w:left w:val="nil"/>
              <w:bottom w:val="dotted" w:color="auto" w:sz="4" w:space="0"/>
              <w:right w:val="dotted" w:color="auto" w:sz="4" w:space="0"/>
            </w:tcBorders>
            <w:vAlign w:val="center"/>
          </w:tcPr>
          <w:p w14:paraId="0E23B74F">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0B3C155D">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17</w:t>
            </w:r>
          </w:p>
        </w:tc>
        <w:tc>
          <w:tcPr>
            <w:tcW w:w="3353" w:type="dxa"/>
            <w:tcBorders>
              <w:top w:val="dotted" w:color="auto" w:sz="4" w:space="0"/>
              <w:left w:val="dotted" w:color="auto" w:sz="4" w:space="0"/>
              <w:bottom w:val="dotted" w:color="auto" w:sz="4" w:space="0"/>
              <w:right w:val="dotted" w:color="auto" w:sz="4" w:space="0"/>
            </w:tcBorders>
            <w:vAlign w:val="center"/>
          </w:tcPr>
          <w:p w14:paraId="1B0C4516">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有效发明专利拥有量</w:t>
            </w:r>
          </w:p>
        </w:tc>
        <w:tc>
          <w:tcPr>
            <w:tcW w:w="869" w:type="dxa"/>
            <w:tcBorders>
              <w:top w:val="dotted" w:color="auto" w:sz="4" w:space="0"/>
              <w:left w:val="dotted" w:color="auto" w:sz="4" w:space="0"/>
              <w:bottom w:val="dotted" w:color="auto" w:sz="4" w:space="0"/>
              <w:right w:val="dotted" w:color="auto" w:sz="4" w:space="0"/>
            </w:tcBorders>
            <w:vAlign w:val="center"/>
          </w:tcPr>
          <w:p w14:paraId="40C32E97">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件</w:t>
            </w:r>
          </w:p>
        </w:tc>
        <w:tc>
          <w:tcPr>
            <w:tcW w:w="2104" w:type="dxa"/>
            <w:tcBorders>
              <w:top w:val="dotted" w:color="auto" w:sz="4" w:space="0"/>
              <w:left w:val="dotted" w:color="auto" w:sz="4" w:space="0"/>
              <w:bottom w:val="dotted" w:color="auto" w:sz="4" w:space="0"/>
              <w:right w:val="dotted" w:color="auto" w:sz="4" w:space="0"/>
            </w:tcBorders>
            <w:vAlign w:val="center"/>
          </w:tcPr>
          <w:p w14:paraId="1ADF2947">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1750</w:t>
            </w:r>
          </w:p>
        </w:tc>
        <w:tc>
          <w:tcPr>
            <w:tcW w:w="911" w:type="dxa"/>
            <w:tcBorders>
              <w:top w:val="dotted" w:color="auto" w:sz="4" w:space="0"/>
              <w:left w:val="dotted" w:color="auto" w:sz="4" w:space="0"/>
              <w:bottom w:val="dotted" w:color="auto" w:sz="4" w:space="0"/>
              <w:right w:val="nil"/>
            </w:tcBorders>
            <w:vAlign w:val="center"/>
          </w:tcPr>
          <w:p w14:paraId="7E3F5B23">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1726</w:t>
            </w:r>
          </w:p>
        </w:tc>
        <w:tc>
          <w:tcPr>
            <w:tcW w:w="806" w:type="dxa"/>
            <w:tcBorders>
              <w:top w:val="dotted" w:color="auto" w:sz="4" w:space="0"/>
              <w:left w:val="dotted" w:color="auto" w:sz="4" w:space="0"/>
              <w:bottom w:val="dotted" w:color="auto" w:sz="4" w:space="0"/>
              <w:right w:val="nil"/>
            </w:tcBorders>
            <w:vAlign w:val="center"/>
          </w:tcPr>
          <w:p w14:paraId="5F983F74">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996" w:type="dxa"/>
            <w:tcBorders>
              <w:top w:val="dotted" w:color="auto" w:sz="4" w:space="0"/>
              <w:left w:val="dotted" w:color="auto" w:sz="4" w:space="0"/>
              <w:bottom w:val="dotted" w:color="auto" w:sz="4" w:space="0"/>
              <w:right w:val="nil"/>
            </w:tcBorders>
            <w:vAlign w:val="center"/>
          </w:tcPr>
          <w:p w14:paraId="6EC73B26">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2FF3739D">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exact"/>
          <w:jc w:val="center"/>
        </w:trPr>
        <w:tc>
          <w:tcPr>
            <w:tcW w:w="687" w:type="dxa"/>
            <w:vMerge w:val="restart"/>
            <w:tcBorders>
              <w:top w:val="dotted" w:color="auto" w:sz="4" w:space="0"/>
              <w:left w:val="nil"/>
              <w:right w:val="dotted" w:color="auto" w:sz="4" w:space="0"/>
            </w:tcBorders>
            <w:vAlign w:val="center"/>
          </w:tcPr>
          <w:p w14:paraId="4DBBB5FD">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民生保障</w:t>
            </w:r>
          </w:p>
        </w:tc>
        <w:tc>
          <w:tcPr>
            <w:tcW w:w="621" w:type="dxa"/>
            <w:tcBorders>
              <w:top w:val="dotted" w:color="auto" w:sz="4" w:space="0"/>
              <w:left w:val="dotted" w:color="auto" w:sz="4" w:space="0"/>
              <w:bottom w:val="dotted" w:color="auto" w:sz="4" w:space="0"/>
              <w:right w:val="dotted" w:color="auto" w:sz="4" w:space="0"/>
            </w:tcBorders>
            <w:vAlign w:val="center"/>
          </w:tcPr>
          <w:p w14:paraId="35417A8F">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18</w:t>
            </w:r>
          </w:p>
        </w:tc>
        <w:tc>
          <w:tcPr>
            <w:tcW w:w="3353" w:type="dxa"/>
            <w:tcBorders>
              <w:top w:val="dotted" w:color="auto" w:sz="4" w:space="0"/>
              <w:left w:val="dotted" w:color="auto" w:sz="4" w:space="0"/>
              <w:bottom w:val="dotted" w:color="auto" w:sz="4" w:space="0"/>
              <w:right w:val="dotted" w:color="auto" w:sz="4" w:space="0"/>
            </w:tcBorders>
            <w:vAlign w:val="center"/>
          </w:tcPr>
          <w:p w14:paraId="2C079D03">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困难人员免费参保率</w:t>
            </w:r>
          </w:p>
        </w:tc>
        <w:tc>
          <w:tcPr>
            <w:tcW w:w="869" w:type="dxa"/>
            <w:tcBorders>
              <w:top w:val="dotted" w:color="auto" w:sz="4" w:space="0"/>
              <w:left w:val="dotted" w:color="auto" w:sz="4" w:space="0"/>
              <w:bottom w:val="dotted" w:color="auto" w:sz="4" w:space="0"/>
              <w:right w:val="dotted" w:color="auto" w:sz="4" w:space="0"/>
            </w:tcBorders>
            <w:vAlign w:val="center"/>
          </w:tcPr>
          <w:p w14:paraId="3B1F467F">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2104" w:type="dxa"/>
            <w:tcBorders>
              <w:top w:val="dotted" w:color="auto" w:sz="4" w:space="0"/>
              <w:left w:val="dotted" w:color="auto" w:sz="4" w:space="0"/>
              <w:bottom w:val="dotted" w:color="auto" w:sz="4" w:space="0"/>
              <w:right w:val="dotted" w:color="auto" w:sz="4" w:space="0"/>
            </w:tcBorders>
            <w:vAlign w:val="center"/>
          </w:tcPr>
          <w:p w14:paraId="39E037C6">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100</w:t>
            </w:r>
          </w:p>
        </w:tc>
        <w:tc>
          <w:tcPr>
            <w:tcW w:w="911" w:type="dxa"/>
            <w:tcBorders>
              <w:top w:val="dotted" w:color="auto" w:sz="4" w:space="0"/>
              <w:left w:val="dotted" w:color="auto" w:sz="4" w:space="0"/>
              <w:bottom w:val="dotted" w:color="auto" w:sz="4" w:space="0"/>
              <w:right w:val="nil"/>
            </w:tcBorders>
            <w:vAlign w:val="center"/>
          </w:tcPr>
          <w:p w14:paraId="69C88543">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100</w:t>
            </w:r>
          </w:p>
        </w:tc>
        <w:tc>
          <w:tcPr>
            <w:tcW w:w="806" w:type="dxa"/>
            <w:tcBorders>
              <w:top w:val="dotted" w:color="auto" w:sz="4" w:space="0"/>
              <w:left w:val="dotted" w:color="auto" w:sz="4" w:space="0"/>
              <w:bottom w:val="dotted" w:color="auto" w:sz="4" w:space="0"/>
              <w:right w:val="nil"/>
            </w:tcBorders>
            <w:vAlign w:val="center"/>
          </w:tcPr>
          <w:p w14:paraId="4CAD4F7A">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996" w:type="dxa"/>
            <w:tcBorders>
              <w:top w:val="dotted" w:color="auto" w:sz="4" w:space="0"/>
              <w:left w:val="dotted" w:color="auto" w:sz="4" w:space="0"/>
              <w:bottom w:val="dotted" w:color="auto" w:sz="4" w:space="0"/>
              <w:right w:val="nil"/>
            </w:tcBorders>
            <w:vAlign w:val="center"/>
          </w:tcPr>
          <w:p w14:paraId="2FCEE9FE">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2F7C0575">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exact"/>
          <w:jc w:val="center"/>
        </w:trPr>
        <w:tc>
          <w:tcPr>
            <w:tcW w:w="687" w:type="dxa"/>
            <w:vMerge w:val="continue"/>
            <w:tcBorders>
              <w:left w:val="nil"/>
              <w:right w:val="dotted" w:color="auto" w:sz="4" w:space="0"/>
            </w:tcBorders>
            <w:vAlign w:val="center"/>
          </w:tcPr>
          <w:p w14:paraId="29A72CAC">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0D6985C6">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19</w:t>
            </w:r>
          </w:p>
        </w:tc>
        <w:tc>
          <w:tcPr>
            <w:tcW w:w="3353" w:type="dxa"/>
            <w:tcBorders>
              <w:top w:val="dotted" w:color="auto" w:sz="4" w:space="0"/>
              <w:left w:val="dotted" w:color="auto" w:sz="4" w:space="0"/>
              <w:bottom w:val="dotted" w:color="auto" w:sz="4" w:space="0"/>
              <w:right w:val="dotted" w:color="auto" w:sz="4" w:space="0"/>
            </w:tcBorders>
            <w:vAlign w:val="center"/>
          </w:tcPr>
          <w:p w14:paraId="243DB4C1">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城镇新增就业人数</w:t>
            </w:r>
          </w:p>
        </w:tc>
        <w:tc>
          <w:tcPr>
            <w:tcW w:w="869" w:type="dxa"/>
            <w:tcBorders>
              <w:top w:val="dotted" w:color="auto" w:sz="4" w:space="0"/>
              <w:left w:val="dotted" w:color="auto" w:sz="4" w:space="0"/>
              <w:bottom w:val="dotted" w:color="auto" w:sz="4" w:space="0"/>
              <w:right w:val="dotted" w:color="auto" w:sz="4" w:space="0"/>
            </w:tcBorders>
            <w:vAlign w:val="center"/>
          </w:tcPr>
          <w:p w14:paraId="6E4C0FF3">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人</w:t>
            </w:r>
          </w:p>
        </w:tc>
        <w:tc>
          <w:tcPr>
            <w:tcW w:w="2104" w:type="dxa"/>
            <w:tcBorders>
              <w:top w:val="dotted" w:color="auto" w:sz="4" w:space="0"/>
              <w:left w:val="dotted" w:color="auto" w:sz="4" w:space="0"/>
              <w:bottom w:val="dotted" w:color="auto" w:sz="4" w:space="0"/>
              <w:right w:val="dotted" w:color="auto" w:sz="4" w:space="0"/>
            </w:tcBorders>
            <w:vAlign w:val="center"/>
          </w:tcPr>
          <w:p w14:paraId="770CD42F">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7000</w:t>
            </w:r>
          </w:p>
        </w:tc>
        <w:tc>
          <w:tcPr>
            <w:tcW w:w="911" w:type="dxa"/>
            <w:tcBorders>
              <w:top w:val="dotted" w:color="auto" w:sz="4" w:space="0"/>
              <w:left w:val="dotted" w:color="auto" w:sz="4" w:space="0"/>
              <w:bottom w:val="dotted" w:color="auto" w:sz="4" w:space="0"/>
              <w:right w:val="nil"/>
            </w:tcBorders>
            <w:vAlign w:val="center"/>
          </w:tcPr>
          <w:p w14:paraId="42351978">
            <w:pPr>
              <w:spacing w:line="240" w:lineRule="exact"/>
              <w:jc w:val="center"/>
              <w:rPr>
                <w:rFonts w:ascii="Times New Roman" w:hAnsi="Times New Roman" w:eastAsia="方正仿宋简体" w:cs="Times New Roman"/>
                <w:sz w:val="20"/>
                <w:szCs w:val="20"/>
                <w:highlight w:val="none"/>
              </w:rPr>
            </w:pPr>
            <w:r>
              <w:rPr>
                <w:rFonts w:hint="eastAsia" w:ascii="Times New Roman" w:hAnsi="Times New Roman" w:eastAsia="方正仿宋简体" w:cs="Times New Roman"/>
                <w:sz w:val="20"/>
                <w:szCs w:val="20"/>
                <w:highlight w:val="none"/>
              </w:rPr>
              <w:t>4416</w:t>
            </w:r>
          </w:p>
        </w:tc>
        <w:tc>
          <w:tcPr>
            <w:tcW w:w="806" w:type="dxa"/>
            <w:tcBorders>
              <w:top w:val="dotted" w:color="auto" w:sz="4" w:space="0"/>
              <w:left w:val="dotted" w:color="auto" w:sz="4" w:space="0"/>
              <w:bottom w:val="dotted" w:color="auto" w:sz="4" w:space="0"/>
              <w:right w:val="nil"/>
            </w:tcBorders>
            <w:vAlign w:val="center"/>
          </w:tcPr>
          <w:p w14:paraId="0A1ED6F4">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996" w:type="dxa"/>
            <w:tcBorders>
              <w:top w:val="dotted" w:color="auto" w:sz="4" w:space="0"/>
              <w:left w:val="dotted" w:color="auto" w:sz="4" w:space="0"/>
              <w:bottom w:val="dotted" w:color="auto" w:sz="4" w:space="0"/>
              <w:right w:val="nil"/>
            </w:tcBorders>
            <w:vAlign w:val="center"/>
          </w:tcPr>
          <w:p w14:paraId="5C29179F">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1A787329">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exact"/>
          <w:jc w:val="center"/>
        </w:trPr>
        <w:tc>
          <w:tcPr>
            <w:tcW w:w="687" w:type="dxa"/>
            <w:vMerge w:val="restart"/>
            <w:tcBorders>
              <w:left w:val="nil"/>
              <w:right w:val="dotted" w:color="auto" w:sz="4" w:space="0"/>
            </w:tcBorders>
            <w:vAlign w:val="center"/>
          </w:tcPr>
          <w:p w14:paraId="43EA130D">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民生保障</w:t>
            </w:r>
          </w:p>
        </w:tc>
        <w:tc>
          <w:tcPr>
            <w:tcW w:w="621" w:type="dxa"/>
            <w:tcBorders>
              <w:top w:val="dotted" w:color="auto" w:sz="4" w:space="0"/>
              <w:left w:val="dotted" w:color="auto" w:sz="4" w:space="0"/>
              <w:bottom w:val="dotted" w:color="auto" w:sz="4" w:space="0"/>
              <w:right w:val="dotted" w:color="auto" w:sz="4" w:space="0"/>
            </w:tcBorders>
            <w:vAlign w:val="center"/>
          </w:tcPr>
          <w:p w14:paraId="05E9A062">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20</w:t>
            </w:r>
          </w:p>
        </w:tc>
        <w:tc>
          <w:tcPr>
            <w:tcW w:w="3353" w:type="dxa"/>
            <w:tcBorders>
              <w:top w:val="dotted" w:color="auto" w:sz="4" w:space="0"/>
              <w:left w:val="dotted" w:color="auto" w:sz="4" w:space="0"/>
              <w:bottom w:val="dotted" w:color="auto" w:sz="4" w:space="0"/>
              <w:right w:val="dotted" w:color="auto" w:sz="4" w:space="0"/>
            </w:tcBorders>
            <w:vAlign w:val="center"/>
          </w:tcPr>
          <w:p w14:paraId="6EBA8E17">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新增就业参保大学生（技校生）人数</w:t>
            </w:r>
          </w:p>
        </w:tc>
        <w:tc>
          <w:tcPr>
            <w:tcW w:w="869" w:type="dxa"/>
            <w:tcBorders>
              <w:top w:val="dotted" w:color="auto" w:sz="4" w:space="0"/>
              <w:left w:val="dotted" w:color="auto" w:sz="4" w:space="0"/>
              <w:bottom w:val="dotted" w:color="auto" w:sz="4" w:space="0"/>
              <w:right w:val="dotted" w:color="auto" w:sz="4" w:space="0"/>
            </w:tcBorders>
            <w:vAlign w:val="center"/>
          </w:tcPr>
          <w:p w14:paraId="05E9F4EE">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人</w:t>
            </w:r>
          </w:p>
        </w:tc>
        <w:tc>
          <w:tcPr>
            <w:tcW w:w="2104" w:type="dxa"/>
            <w:tcBorders>
              <w:top w:val="dotted" w:color="auto" w:sz="4" w:space="0"/>
              <w:left w:val="dotted" w:color="auto" w:sz="4" w:space="0"/>
              <w:bottom w:val="dotted" w:color="auto" w:sz="4" w:space="0"/>
              <w:right w:val="dotted" w:color="auto" w:sz="4" w:space="0"/>
            </w:tcBorders>
            <w:vAlign w:val="center"/>
          </w:tcPr>
          <w:p w14:paraId="7B660993">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达市定目标</w:t>
            </w:r>
          </w:p>
        </w:tc>
        <w:tc>
          <w:tcPr>
            <w:tcW w:w="2713" w:type="dxa"/>
            <w:gridSpan w:val="3"/>
            <w:tcBorders>
              <w:top w:val="dotted" w:color="auto" w:sz="4" w:space="0"/>
              <w:left w:val="dotted" w:color="auto" w:sz="4" w:space="0"/>
              <w:bottom w:val="dotted" w:color="auto" w:sz="4" w:space="0"/>
              <w:right w:val="nil"/>
            </w:tcBorders>
            <w:vAlign w:val="center"/>
          </w:tcPr>
          <w:p w14:paraId="148A58AC">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年度指标</w:t>
            </w:r>
          </w:p>
        </w:tc>
      </w:tr>
      <w:tr w14:paraId="0066D167">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exact"/>
          <w:jc w:val="center"/>
        </w:trPr>
        <w:tc>
          <w:tcPr>
            <w:tcW w:w="687" w:type="dxa"/>
            <w:vMerge w:val="continue"/>
            <w:tcBorders>
              <w:left w:val="nil"/>
              <w:right w:val="dotted" w:color="auto" w:sz="4" w:space="0"/>
            </w:tcBorders>
            <w:vAlign w:val="center"/>
          </w:tcPr>
          <w:p w14:paraId="19E6B9F9">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43794346">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21</w:t>
            </w:r>
          </w:p>
        </w:tc>
        <w:tc>
          <w:tcPr>
            <w:tcW w:w="3353" w:type="dxa"/>
            <w:tcBorders>
              <w:top w:val="dotted" w:color="auto" w:sz="4" w:space="0"/>
              <w:left w:val="dotted" w:color="auto" w:sz="4" w:space="0"/>
              <w:bottom w:val="dotted" w:color="auto" w:sz="4" w:space="0"/>
              <w:right w:val="dotted" w:color="auto" w:sz="4" w:space="0"/>
            </w:tcBorders>
            <w:vAlign w:val="center"/>
          </w:tcPr>
          <w:p w14:paraId="1E16A8A7">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接受上门服务的居家老年人数占比</w:t>
            </w:r>
          </w:p>
        </w:tc>
        <w:tc>
          <w:tcPr>
            <w:tcW w:w="869" w:type="dxa"/>
            <w:tcBorders>
              <w:top w:val="dotted" w:color="auto" w:sz="4" w:space="0"/>
              <w:left w:val="dotted" w:color="auto" w:sz="4" w:space="0"/>
              <w:bottom w:val="dotted" w:color="auto" w:sz="4" w:space="0"/>
              <w:right w:val="dotted" w:color="auto" w:sz="4" w:space="0"/>
            </w:tcBorders>
            <w:vAlign w:val="center"/>
          </w:tcPr>
          <w:p w14:paraId="6650C870">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2104" w:type="dxa"/>
            <w:tcBorders>
              <w:top w:val="dotted" w:color="auto" w:sz="4" w:space="0"/>
              <w:left w:val="dotted" w:color="auto" w:sz="4" w:space="0"/>
              <w:bottom w:val="dotted" w:color="auto" w:sz="4" w:space="0"/>
              <w:right w:val="dotted" w:color="auto" w:sz="4" w:space="0"/>
            </w:tcBorders>
            <w:vAlign w:val="center"/>
          </w:tcPr>
          <w:p w14:paraId="44264C40">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保持28</w:t>
            </w:r>
          </w:p>
        </w:tc>
        <w:tc>
          <w:tcPr>
            <w:tcW w:w="911" w:type="dxa"/>
            <w:tcBorders>
              <w:top w:val="dotted" w:color="auto" w:sz="4" w:space="0"/>
              <w:left w:val="dotted" w:color="auto" w:sz="4" w:space="0"/>
              <w:bottom w:val="dotted" w:color="auto" w:sz="4" w:space="0"/>
              <w:right w:val="dotted" w:color="auto" w:sz="4" w:space="0"/>
            </w:tcBorders>
            <w:vAlign w:val="center"/>
          </w:tcPr>
          <w:p w14:paraId="0C480BBE">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28</w:t>
            </w:r>
          </w:p>
        </w:tc>
        <w:tc>
          <w:tcPr>
            <w:tcW w:w="806" w:type="dxa"/>
            <w:tcBorders>
              <w:top w:val="dotted" w:color="auto" w:sz="4" w:space="0"/>
              <w:left w:val="dotted" w:color="auto" w:sz="4" w:space="0"/>
              <w:bottom w:val="dotted" w:color="auto" w:sz="4" w:space="0"/>
              <w:right w:val="dotted" w:color="auto" w:sz="4" w:space="0"/>
            </w:tcBorders>
            <w:vAlign w:val="center"/>
          </w:tcPr>
          <w:p w14:paraId="42F73F5B">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996" w:type="dxa"/>
            <w:tcBorders>
              <w:top w:val="dotted" w:color="auto" w:sz="4" w:space="0"/>
              <w:left w:val="dotted" w:color="auto" w:sz="4" w:space="0"/>
              <w:bottom w:val="dotted" w:color="auto" w:sz="4" w:space="0"/>
              <w:right w:val="nil"/>
            </w:tcBorders>
            <w:vAlign w:val="center"/>
          </w:tcPr>
          <w:p w14:paraId="22465CE7">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1B3B00D4">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687" w:type="dxa"/>
            <w:vMerge w:val="continue"/>
            <w:tcBorders>
              <w:left w:val="nil"/>
              <w:right w:val="dotted" w:color="auto" w:sz="4" w:space="0"/>
            </w:tcBorders>
            <w:vAlign w:val="center"/>
          </w:tcPr>
          <w:p w14:paraId="037C1AD6">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4B1E42FC">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22</w:t>
            </w:r>
          </w:p>
        </w:tc>
        <w:tc>
          <w:tcPr>
            <w:tcW w:w="3353" w:type="dxa"/>
            <w:tcBorders>
              <w:top w:val="dotted" w:color="auto" w:sz="4" w:space="0"/>
              <w:left w:val="dotted" w:color="auto" w:sz="4" w:space="0"/>
              <w:bottom w:val="dotted" w:color="auto" w:sz="4" w:space="0"/>
              <w:right w:val="dotted" w:color="auto" w:sz="4" w:space="0"/>
            </w:tcBorders>
            <w:vAlign w:val="center"/>
          </w:tcPr>
          <w:p w14:paraId="62FC8B15">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每千人口拥有0-3岁婴幼儿托位数</w:t>
            </w:r>
          </w:p>
        </w:tc>
        <w:tc>
          <w:tcPr>
            <w:tcW w:w="869" w:type="dxa"/>
            <w:tcBorders>
              <w:top w:val="dotted" w:color="auto" w:sz="4" w:space="0"/>
              <w:left w:val="dotted" w:color="auto" w:sz="4" w:space="0"/>
              <w:bottom w:val="dotted" w:color="auto" w:sz="4" w:space="0"/>
              <w:right w:val="dotted" w:color="auto" w:sz="4" w:space="0"/>
            </w:tcBorders>
            <w:vAlign w:val="center"/>
          </w:tcPr>
          <w:p w14:paraId="0D708DE8">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个</w:t>
            </w:r>
          </w:p>
        </w:tc>
        <w:tc>
          <w:tcPr>
            <w:tcW w:w="2104" w:type="dxa"/>
            <w:tcBorders>
              <w:top w:val="dotted" w:color="auto" w:sz="4" w:space="0"/>
              <w:left w:val="dotted" w:color="auto" w:sz="4" w:space="0"/>
              <w:bottom w:val="dotted" w:color="auto" w:sz="4" w:space="0"/>
              <w:right w:val="dotted" w:color="auto" w:sz="4" w:space="0"/>
            </w:tcBorders>
            <w:vAlign w:val="center"/>
          </w:tcPr>
          <w:p w14:paraId="3200B8A0">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保持4.5</w:t>
            </w:r>
          </w:p>
        </w:tc>
        <w:tc>
          <w:tcPr>
            <w:tcW w:w="911" w:type="dxa"/>
            <w:tcBorders>
              <w:top w:val="dotted" w:color="auto" w:sz="4" w:space="0"/>
              <w:left w:val="dotted" w:color="auto" w:sz="4" w:space="0"/>
              <w:bottom w:val="dotted" w:color="auto" w:sz="4" w:space="0"/>
              <w:right w:val="dotted" w:color="auto" w:sz="4" w:space="0"/>
            </w:tcBorders>
            <w:vAlign w:val="center"/>
          </w:tcPr>
          <w:p w14:paraId="60B7A691">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4.5以上</w:t>
            </w:r>
          </w:p>
        </w:tc>
        <w:tc>
          <w:tcPr>
            <w:tcW w:w="806" w:type="dxa"/>
            <w:tcBorders>
              <w:top w:val="dotted" w:color="auto" w:sz="4" w:space="0"/>
              <w:left w:val="dotted" w:color="auto" w:sz="4" w:space="0"/>
              <w:bottom w:val="dotted" w:color="auto" w:sz="4" w:space="0"/>
              <w:right w:val="dotted" w:color="auto" w:sz="4" w:space="0"/>
            </w:tcBorders>
            <w:vAlign w:val="center"/>
          </w:tcPr>
          <w:p w14:paraId="007DFDB8">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996" w:type="dxa"/>
            <w:tcBorders>
              <w:top w:val="dotted" w:color="auto" w:sz="4" w:space="0"/>
              <w:left w:val="dotted" w:color="auto" w:sz="4" w:space="0"/>
              <w:bottom w:val="dotted" w:color="auto" w:sz="4" w:space="0"/>
              <w:right w:val="nil"/>
            </w:tcBorders>
            <w:vAlign w:val="center"/>
          </w:tcPr>
          <w:p w14:paraId="7C7B24AD">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792B6776">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jc w:val="center"/>
        </w:trPr>
        <w:tc>
          <w:tcPr>
            <w:tcW w:w="687" w:type="dxa"/>
            <w:vMerge w:val="continue"/>
            <w:tcBorders>
              <w:left w:val="nil"/>
              <w:right w:val="dotted" w:color="auto" w:sz="4" w:space="0"/>
            </w:tcBorders>
            <w:vAlign w:val="center"/>
          </w:tcPr>
          <w:p w14:paraId="419B8D52">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0789677F">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23</w:t>
            </w:r>
          </w:p>
        </w:tc>
        <w:tc>
          <w:tcPr>
            <w:tcW w:w="3353" w:type="dxa"/>
            <w:tcBorders>
              <w:top w:val="dotted" w:color="auto" w:sz="4" w:space="0"/>
              <w:left w:val="dotted" w:color="auto" w:sz="4" w:space="0"/>
              <w:bottom w:val="dotted" w:color="auto" w:sz="4" w:space="0"/>
              <w:right w:val="dotted" w:color="auto" w:sz="4" w:space="0"/>
            </w:tcBorders>
            <w:vAlign w:val="center"/>
          </w:tcPr>
          <w:p w14:paraId="3D542B69">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每千人执业（助理）医师数</w:t>
            </w:r>
          </w:p>
        </w:tc>
        <w:tc>
          <w:tcPr>
            <w:tcW w:w="869" w:type="dxa"/>
            <w:tcBorders>
              <w:top w:val="dotted" w:color="auto" w:sz="4" w:space="0"/>
              <w:left w:val="dotted" w:color="auto" w:sz="4" w:space="0"/>
              <w:bottom w:val="dotted" w:color="auto" w:sz="4" w:space="0"/>
              <w:right w:val="dotted" w:color="auto" w:sz="4" w:space="0"/>
            </w:tcBorders>
            <w:vAlign w:val="center"/>
          </w:tcPr>
          <w:p w14:paraId="61121E6E">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人</w:t>
            </w:r>
          </w:p>
        </w:tc>
        <w:tc>
          <w:tcPr>
            <w:tcW w:w="2104" w:type="dxa"/>
            <w:tcBorders>
              <w:top w:val="dotted" w:color="auto" w:sz="4" w:space="0"/>
              <w:left w:val="dotted" w:color="auto" w:sz="4" w:space="0"/>
              <w:bottom w:val="dotted" w:color="auto" w:sz="4" w:space="0"/>
              <w:right w:val="dotted" w:color="auto" w:sz="4" w:space="0"/>
            </w:tcBorders>
            <w:vAlign w:val="center"/>
          </w:tcPr>
          <w:p w14:paraId="0F264026">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2.6</w:t>
            </w:r>
          </w:p>
        </w:tc>
        <w:tc>
          <w:tcPr>
            <w:tcW w:w="911" w:type="dxa"/>
            <w:tcBorders>
              <w:top w:val="dotted" w:color="auto" w:sz="4" w:space="0"/>
              <w:left w:val="dotted" w:color="auto" w:sz="4" w:space="0"/>
              <w:bottom w:val="dotted" w:color="auto" w:sz="4" w:space="0"/>
              <w:right w:val="dotted" w:color="auto" w:sz="4" w:space="0"/>
            </w:tcBorders>
            <w:vAlign w:val="center"/>
          </w:tcPr>
          <w:p w14:paraId="4977B1A5">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2.6</w:t>
            </w:r>
          </w:p>
        </w:tc>
        <w:tc>
          <w:tcPr>
            <w:tcW w:w="806" w:type="dxa"/>
            <w:tcBorders>
              <w:top w:val="dotted" w:color="auto" w:sz="4" w:space="0"/>
              <w:left w:val="dotted" w:color="auto" w:sz="4" w:space="0"/>
              <w:bottom w:val="dotted" w:color="auto" w:sz="4" w:space="0"/>
              <w:right w:val="dotted" w:color="auto" w:sz="4" w:space="0"/>
            </w:tcBorders>
            <w:vAlign w:val="center"/>
          </w:tcPr>
          <w:p w14:paraId="0FE6D77E">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996" w:type="dxa"/>
            <w:tcBorders>
              <w:top w:val="dotted" w:color="auto" w:sz="4" w:space="0"/>
              <w:left w:val="dotted" w:color="auto" w:sz="4" w:space="0"/>
              <w:bottom w:val="dotted" w:color="auto" w:sz="4" w:space="0"/>
              <w:right w:val="nil"/>
            </w:tcBorders>
            <w:vAlign w:val="center"/>
          </w:tcPr>
          <w:p w14:paraId="25E5BA5E">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6E7FAEF4">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exact"/>
          <w:jc w:val="center"/>
        </w:trPr>
        <w:tc>
          <w:tcPr>
            <w:tcW w:w="687" w:type="dxa"/>
            <w:vMerge w:val="continue"/>
            <w:tcBorders>
              <w:left w:val="nil"/>
              <w:right w:val="dotted" w:color="auto" w:sz="4" w:space="0"/>
            </w:tcBorders>
          </w:tcPr>
          <w:p w14:paraId="112D065E">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0759F83A">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24</w:t>
            </w:r>
          </w:p>
        </w:tc>
        <w:tc>
          <w:tcPr>
            <w:tcW w:w="3353" w:type="dxa"/>
            <w:tcBorders>
              <w:top w:val="dotted" w:color="auto" w:sz="4" w:space="0"/>
              <w:left w:val="dotted" w:color="auto" w:sz="4" w:space="0"/>
              <w:bottom w:val="dotted" w:color="auto" w:sz="4" w:space="0"/>
              <w:right w:val="dotted" w:color="auto" w:sz="4" w:space="0"/>
            </w:tcBorders>
            <w:vAlign w:val="center"/>
          </w:tcPr>
          <w:p w14:paraId="219485C4">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每千人口医疗卫生机构床位数</w:t>
            </w:r>
          </w:p>
        </w:tc>
        <w:tc>
          <w:tcPr>
            <w:tcW w:w="869" w:type="dxa"/>
            <w:tcBorders>
              <w:top w:val="dotted" w:color="auto" w:sz="4" w:space="0"/>
              <w:left w:val="dotted" w:color="auto" w:sz="4" w:space="0"/>
              <w:bottom w:val="dotted" w:color="auto" w:sz="4" w:space="0"/>
              <w:right w:val="dotted" w:color="auto" w:sz="4" w:space="0"/>
            </w:tcBorders>
            <w:vAlign w:val="center"/>
          </w:tcPr>
          <w:p w14:paraId="59DC689F">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张</w:t>
            </w:r>
          </w:p>
        </w:tc>
        <w:tc>
          <w:tcPr>
            <w:tcW w:w="2104" w:type="dxa"/>
            <w:tcBorders>
              <w:top w:val="dotted" w:color="auto" w:sz="4" w:space="0"/>
              <w:left w:val="dotted" w:color="auto" w:sz="4" w:space="0"/>
              <w:bottom w:val="dotted" w:color="auto" w:sz="4" w:space="0"/>
              <w:right w:val="dotted" w:color="auto" w:sz="4" w:space="0"/>
            </w:tcBorders>
            <w:vAlign w:val="center"/>
          </w:tcPr>
          <w:p w14:paraId="77A69358">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3.82</w:t>
            </w:r>
          </w:p>
        </w:tc>
        <w:tc>
          <w:tcPr>
            <w:tcW w:w="911" w:type="dxa"/>
            <w:tcBorders>
              <w:top w:val="dotted" w:color="auto" w:sz="4" w:space="0"/>
              <w:left w:val="dotted" w:color="auto" w:sz="4" w:space="0"/>
              <w:bottom w:val="dotted" w:color="auto" w:sz="4" w:space="0"/>
              <w:right w:val="dotted" w:color="auto" w:sz="4" w:space="0"/>
            </w:tcBorders>
            <w:vAlign w:val="center"/>
          </w:tcPr>
          <w:p w14:paraId="4C6F9346">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3.82</w:t>
            </w:r>
          </w:p>
        </w:tc>
        <w:tc>
          <w:tcPr>
            <w:tcW w:w="806" w:type="dxa"/>
            <w:tcBorders>
              <w:top w:val="dotted" w:color="auto" w:sz="4" w:space="0"/>
              <w:left w:val="dotted" w:color="auto" w:sz="4" w:space="0"/>
              <w:bottom w:val="dotted" w:color="auto" w:sz="4" w:space="0"/>
              <w:right w:val="dotted" w:color="auto" w:sz="4" w:space="0"/>
            </w:tcBorders>
            <w:vAlign w:val="center"/>
          </w:tcPr>
          <w:p w14:paraId="6F71CB74">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996" w:type="dxa"/>
            <w:tcBorders>
              <w:top w:val="dotted" w:color="auto" w:sz="4" w:space="0"/>
              <w:left w:val="dotted" w:color="auto" w:sz="4" w:space="0"/>
              <w:bottom w:val="dotted" w:color="auto" w:sz="4" w:space="0"/>
              <w:right w:val="nil"/>
            </w:tcBorders>
            <w:vAlign w:val="center"/>
          </w:tcPr>
          <w:p w14:paraId="7B9717F9">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600F2505">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exact"/>
          <w:jc w:val="center"/>
        </w:trPr>
        <w:tc>
          <w:tcPr>
            <w:tcW w:w="687" w:type="dxa"/>
            <w:vMerge w:val="continue"/>
            <w:tcBorders>
              <w:left w:val="nil"/>
              <w:right w:val="dotted" w:color="auto" w:sz="4" w:space="0"/>
            </w:tcBorders>
            <w:vAlign w:val="center"/>
          </w:tcPr>
          <w:p w14:paraId="3367BE74">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2E022CB4">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25</w:t>
            </w:r>
          </w:p>
        </w:tc>
        <w:tc>
          <w:tcPr>
            <w:tcW w:w="3353" w:type="dxa"/>
            <w:tcBorders>
              <w:top w:val="dotted" w:color="auto" w:sz="4" w:space="0"/>
              <w:left w:val="dotted" w:color="auto" w:sz="4" w:space="0"/>
              <w:bottom w:val="dotted" w:color="auto" w:sz="4" w:space="0"/>
              <w:right w:val="dotted" w:color="auto" w:sz="4" w:space="0"/>
            </w:tcBorders>
            <w:vAlign w:val="center"/>
          </w:tcPr>
          <w:p w14:paraId="2479B096">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文化产业增加值占地区生产总值比重</w:t>
            </w:r>
          </w:p>
        </w:tc>
        <w:tc>
          <w:tcPr>
            <w:tcW w:w="869" w:type="dxa"/>
            <w:tcBorders>
              <w:top w:val="dotted" w:color="auto" w:sz="4" w:space="0"/>
              <w:left w:val="dotted" w:color="auto" w:sz="4" w:space="0"/>
              <w:bottom w:val="dotted" w:color="auto" w:sz="4" w:space="0"/>
              <w:right w:val="dotted" w:color="auto" w:sz="4" w:space="0"/>
            </w:tcBorders>
            <w:vAlign w:val="center"/>
          </w:tcPr>
          <w:p w14:paraId="6B7830FF">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2104" w:type="dxa"/>
            <w:tcBorders>
              <w:top w:val="dotted" w:color="auto" w:sz="4" w:space="0"/>
              <w:left w:val="dotted" w:color="auto" w:sz="4" w:space="0"/>
              <w:bottom w:val="dotted" w:color="auto" w:sz="4" w:space="0"/>
              <w:right w:val="dotted" w:color="auto" w:sz="4" w:space="0"/>
            </w:tcBorders>
            <w:vAlign w:val="center"/>
          </w:tcPr>
          <w:p w14:paraId="7CFCA3EA">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平稳增长</w:t>
            </w:r>
          </w:p>
        </w:tc>
        <w:tc>
          <w:tcPr>
            <w:tcW w:w="2713" w:type="dxa"/>
            <w:gridSpan w:val="3"/>
            <w:tcBorders>
              <w:top w:val="dotted" w:color="auto" w:sz="4" w:space="0"/>
              <w:left w:val="dotted" w:color="auto" w:sz="4" w:space="0"/>
              <w:bottom w:val="dotted" w:color="auto" w:sz="4" w:space="0"/>
              <w:right w:val="nil"/>
            </w:tcBorders>
            <w:vAlign w:val="center"/>
          </w:tcPr>
          <w:p w14:paraId="03293CD3">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年度指标</w:t>
            </w:r>
          </w:p>
        </w:tc>
      </w:tr>
      <w:tr w14:paraId="335B5DCB">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exact"/>
          <w:jc w:val="center"/>
        </w:trPr>
        <w:tc>
          <w:tcPr>
            <w:tcW w:w="687" w:type="dxa"/>
            <w:vMerge w:val="continue"/>
            <w:tcBorders>
              <w:left w:val="nil"/>
              <w:bottom w:val="dotted" w:color="auto" w:sz="4" w:space="0"/>
              <w:right w:val="dotted" w:color="auto" w:sz="4" w:space="0"/>
            </w:tcBorders>
            <w:vAlign w:val="center"/>
          </w:tcPr>
          <w:p w14:paraId="400C1DC4">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2BDEB6BB">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26</w:t>
            </w:r>
          </w:p>
        </w:tc>
        <w:tc>
          <w:tcPr>
            <w:tcW w:w="3353" w:type="dxa"/>
            <w:tcBorders>
              <w:top w:val="dotted" w:color="auto" w:sz="4" w:space="0"/>
              <w:left w:val="dotted" w:color="auto" w:sz="4" w:space="0"/>
              <w:bottom w:val="dotted" w:color="auto" w:sz="4" w:space="0"/>
              <w:right w:val="dotted" w:color="auto" w:sz="4" w:space="0"/>
            </w:tcBorders>
            <w:vAlign w:val="center"/>
          </w:tcPr>
          <w:p w14:paraId="1A14E533">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全体居民人均可支配收入增速</w:t>
            </w:r>
          </w:p>
        </w:tc>
        <w:tc>
          <w:tcPr>
            <w:tcW w:w="869" w:type="dxa"/>
            <w:tcBorders>
              <w:top w:val="dotted" w:color="auto" w:sz="4" w:space="0"/>
              <w:left w:val="dotted" w:color="auto" w:sz="4" w:space="0"/>
              <w:bottom w:val="dotted" w:color="auto" w:sz="4" w:space="0"/>
              <w:right w:val="dotted" w:color="auto" w:sz="4" w:space="0"/>
            </w:tcBorders>
            <w:vAlign w:val="center"/>
          </w:tcPr>
          <w:p w14:paraId="2EA99106">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2104" w:type="dxa"/>
            <w:tcBorders>
              <w:top w:val="dotted" w:color="auto" w:sz="4" w:space="0"/>
              <w:left w:val="dotted" w:color="auto" w:sz="4" w:space="0"/>
              <w:bottom w:val="dotted" w:color="auto" w:sz="4" w:space="0"/>
              <w:right w:val="dotted" w:color="auto" w:sz="4" w:space="0"/>
            </w:tcBorders>
            <w:vAlign w:val="center"/>
          </w:tcPr>
          <w:p w14:paraId="3A2D4F33">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与经济增长基本同步</w:t>
            </w:r>
          </w:p>
        </w:tc>
        <w:tc>
          <w:tcPr>
            <w:tcW w:w="911" w:type="dxa"/>
            <w:tcBorders>
              <w:top w:val="dotted" w:color="auto" w:sz="4" w:space="0"/>
              <w:left w:val="dotted" w:color="auto" w:sz="4" w:space="0"/>
              <w:bottom w:val="dotted" w:color="auto" w:sz="4" w:space="0"/>
              <w:right w:val="dotted" w:color="auto" w:sz="4" w:space="0"/>
            </w:tcBorders>
            <w:vAlign w:val="center"/>
          </w:tcPr>
          <w:p w14:paraId="77441DF5">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31818</w:t>
            </w:r>
          </w:p>
        </w:tc>
        <w:tc>
          <w:tcPr>
            <w:tcW w:w="806" w:type="dxa"/>
            <w:tcBorders>
              <w:top w:val="dotted" w:color="auto" w:sz="4" w:space="0"/>
              <w:left w:val="dotted" w:color="auto" w:sz="4" w:space="0"/>
              <w:bottom w:val="dotted" w:color="auto" w:sz="4" w:space="0"/>
              <w:right w:val="dotted" w:color="auto" w:sz="4" w:space="0"/>
            </w:tcBorders>
            <w:vAlign w:val="center"/>
          </w:tcPr>
          <w:p w14:paraId="0B3E3652">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4.6</w:t>
            </w:r>
          </w:p>
        </w:tc>
        <w:tc>
          <w:tcPr>
            <w:tcW w:w="996" w:type="dxa"/>
            <w:tcBorders>
              <w:top w:val="dotted" w:color="auto" w:sz="4" w:space="0"/>
              <w:left w:val="dotted" w:color="auto" w:sz="4" w:space="0"/>
              <w:bottom w:val="dotted" w:color="auto" w:sz="4" w:space="0"/>
              <w:right w:val="nil"/>
            </w:tcBorders>
            <w:vAlign w:val="center"/>
          </w:tcPr>
          <w:p w14:paraId="6CB69412">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12C2F0BC">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jc w:val="center"/>
        </w:trPr>
        <w:tc>
          <w:tcPr>
            <w:tcW w:w="687" w:type="dxa"/>
            <w:vMerge w:val="restart"/>
            <w:tcBorders>
              <w:top w:val="dotted" w:color="auto" w:sz="4" w:space="0"/>
              <w:left w:val="nil"/>
              <w:right w:val="dotted" w:color="auto" w:sz="4" w:space="0"/>
            </w:tcBorders>
            <w:vAlign w:val="center"/>
          </w:tcPr>
          <w:p w14:paraId="5329F3E9">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生态环境</w:t>
            </w:r>
          </w:p>
        </w:tc>
        <w:tc>
          <w:tcPr>
            <w:tcW w:w="621" w:type="dxa"/>
            <w:tcBorders>
              <w:top w:val="dotted" w:color="auto" w:sz="4" w:space="0"/>
              <w:left w:val="dotted" w:color="auto" w:sz="4" w:space="0"/>
              <w:bottom w:val="dotted" w:color="auto" w:sz="4" w:space="0"/>
              <w:right w:val="dotted" w:color="auto" w:sz="4" w:space="0"/>
            </w:tcBorders>
            <w:vAlign w:val="center"/>
          </w:tcPr>
          <w:p w14:paraId="0B7F1035">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27</w:t>
            </w:r>
          </w:p>
        </w:tc>
        <w:tc>
          <w:tcPr>
            <w:tcW w:w="3353" w:type="dxa"/>
            <w:tcBorders>
              <w:top w:val="dotted" w:color="auto" w:sz="4" w:space="0"/>
              <w:left w:val="dotted" w:color="auto" w:sz="4" w:space="0"/>
              <w:bottom w:val="dotted" w:color="auto" w:sz="4" w:space="0"/>
              <w:right w:val="dotted" w:color="auto" w:sz="4" w:space="0"/>
            </w:tcBorders>
            <w:vAlign w:val="center"/>
          </w:tcPr>
          <w:p w14:paraId="249D7D93">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单位工业增加值能耗下降</w:t>
            </w:r>
          </w:p>
        </w:tc>
        <w:tc>
          <w:tcPr>
            <w:tcW w:w="869" w:type="dxa"/>
            <w:tcBorders>
              <w:top w:val="dotted" w:color="auto" w:sz="4" w:space="0"/>
              <w:left w:val="dotted" w:color="auto" w:sz="4" w:space="0"/>
              <w:bottom w:val="dotted" w:color="auto" w:sz="4" w:space="0"/>
              <w:right w:val="dotted" w:color="auto" w:sz="4" w:space="0"/>
            </w:tcBorders>
            <w:vAlign w:val="center"/>
          </w:tcPr>
          <w:p w14:paraId="48E72C58">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2104" w:type="dxa"/>
            <w:tcBorders>
              <w:top w:val="dotted" w:color="auto" w:sz="4" w:space="0"/>
              <w:left w:val="dotted" w:color="auto" w:sz="4" w:space="0"/>
              <w:bottom w:val="dotted" w:color="auto" w:sz="4" w:space="0"/>
              <w:right w:val="dotted" w:color="auto" w:sz="4" w:space="0"/>
            </w:tcBorders>
            <w:vAlign w:val="center"/>
          </w:tcPr>
          <w:p w14:paraId="679D11CB">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达市定目标</w:t>
            </w:r>
          </w:p>
        </w:tc>
        <w:tc>
          <w:tcPr>
            <w:tcW w:w="911" w:type="dxa"/>
            <w:tcBorders>
              <w:top w:val="dotted" w:color="auto" w:sz="4" w:space="0"/>
              <w:left w:val="dotted" w:color="auto" w:sz="4" w:space="0"/>
              <w:bottom w:val="dotted" w:color="auto" w:sz="4" w:space="0"/>
              <w:right w:val="dotted" w:color="auto" w:sz="4" w:space="0"/>
            </w:tcBorders>
            <w:vAlign w:val="center"/>
          </w:tcPr>
          <w:p w14:paraId="0FC0932F">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7.7</w:t>
            </w:r>
          </w:p>
        </w:tc>
        <w:tc>
          <w:tcPr>
            <w:tcW w:w="806" w:type="dxa"/>
            <w:tcBorders>
              <w:top w:val="dotted" w:color="auto" w:sz="4" w:space="0"/>
              <w:left w:val="dotted" w:color="auto" w:sz="4" w:space="0"/>
              <w:bottom w:val="dotted" w:color="auto" w:sz="4" w:space="0"/>
              <w:right w:val="dotted" w:color="auto" w:sz="4" w:space="0"/>
            </w:tcBorders>
            <w:vAlign w:val="center"/>
          </w:tcPr>
          <w:p w14:paraId="69DB1DE8">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996" w:type="dxa"/>
            <w:tcBorders>
              <w:top w:val="dotted" w:color="auto" w:sz="4" w:space="0"/>
              <w:left w:val="dotted" w:color="auto" w:sz="4" w:space="0"/>
              <w:bottom w:val="dotted" w:color="auto" w:sz="4" w:space="0"/>
              <w:right w:val="nil"/>
            </w:tcBorders>
            <w:vAlign w:val="center"/>
          </w:tcPr>
          <w:p w14:paraId="16173117">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275A015F">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exact"/>
          <w:jc w:val="center"/>
        </w:trPr>
        <w:tc>
          <w:tcPr>
            <w:tcW w:w="687" w:type="dxa"/>
            <w:vMerge w:val="continue"/>
            <w:tcBorders>
              <w:left w:val="nil"/>
              <w:right w:val="dotted" w:color="auto" w:sz="4" w:space="0"/>
            </w:tcBorders>
          </w:tcPr>
          <w:p w14:paraId="5B9A2AAC">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4463E22C">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28</w:t>
            </w:r>
          </w:p>
        </w:tc>
        <w:tc>
          <w:tcPr>
            <w:tcW w:w="3353" w:type="dxa"/>
            <w:tcBorders>
              <w:top w:val="dotted" w:color="auto" w:sz="4" w:space="0"/>
              <w:left w:val="dotted" w:color="auto" w:sz="4" w:space="0"/>
              <w:bottom w:val="dotted" w:color="auto" w:sz="4" w:space="0"/>
              <w:right w:val="dotted" w:color="auto" w:sz="4" w:space="0"/>
            </w:tcBorders>
            <w:vAlign w:val="center"/>
          </w:tcPr>
          <w:p w14:paraId="46E89C15">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空气质量达到二级标准以上天数比例</w:t>
            </w:r>
          </w:p>
        </w:tc>
        <w:tc>
          <w:tcPr>
            <w:tcW w:w="869" w:type="dxa"/>
            <w:tcBorders>
              <w:top w:val="dotted" w:color="auto" w:sz="4" w:space="0"/>
              <w:left w:val="dotted" w:color="auto" w:sz="4" w:space="0"/>
              <w:bottom w:val="dotted" w:color="auto" w:sz="4" w:space="0"/>
              <w:right w:val="dotted" w:color="auto" w:sz="4" w:space="0"/>
            </w:tcBorders>
            <w:vAlign w:val="center"/>
          </w:tcPr>
          <w:p w14:paraId="64B8B342">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2104" w:type="dxa"/>
            <w:tcBorders>
              <w:top w:val="dotted" w:color="auto" w:sz="4" w:space="0"/>
              <w:left w:val="dotted" w:color="auto" w:sz="4" w:space="0"/>
              <w:bottom w:val="dotted" w:color="auto" w:sz="4" w:space="0"/>
              <w:right w:val="dotted" w:color="auto" w:sz="4" w:space="0"/>
            </w:tcBorders>
            <w:vAlign w:val="center"/>
          </w:tcPr>
          <w:p w14:paraId="1CC1DED1">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达市定目标</w:t>
            </w:r>
          </w:p>
        </w:tc>
        <w:tc>
          <w:tcPr>
            <w:tcW w:w="911" w:type="dxa"/>
            <w:tcBorders>
              <w:top w:val="dotted" w:color="auto" w:sz="4" w:space="0"/>
              <w:left w:val="dotted" w:color="auto" w:sz="4" w:space="0"/>
              <w:bottom w:val="dotted" w:color="auto" w:sz="4" w:space="0"/>
              <w:right w:val="dotted" w:color="auto" w:sz="4" w:space="0"/>
            </w:tcBorders>
            <w:vAlign w:val="center"/>
          </w:tcPr>
          <w:p w14:paraId="548DCAB8">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84.</w:t>
            </w:r>
            <w:r>
              <w:rPr>
                <w:rFonts w:hint="eastAsia" w:ascii="Times New Roman" w:hAnsi="Times New Roman" w:eastAsia="方正仿宋简体" w:cs="Times New Roman"/>
                <w:sz w:val="20"/>
                <w:szCs w:val="20"/>
                <w:highlight w:val="none"/>
              </w:rPr>
              <w:t>0</w:t>
            </w:r>
          </w:p>
        </w:tc>
        <w:tc>
          <w:tcPr>
            <w:tcW w:w="806" w:type="dxa"/>
            <w:tcBorders>
              <w:top w:val="dotted" w:color="auto" w:sz="4" w:space="0"/>
              <w:left w:val="dotted" w:color="auto" w:sz="4" w:space="0"/>
              <w:bottom w:val="dotted" w:color="auto" w:sz="4" w:space="0"/>
              <w:right w:val="dotted" w:color="auto" w:sz="4" w:space="0"/>
            </w:tcBorders>
            <w:vAlign w:val="center"/>
          </w:tcPr>
          <w:p w14:paraId="5EA6EA08">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996" w:type="dxa"/>
            <w:tcBorders>
              <w:top w:val="dotted" w:color="auto" w:sz="4" w:space="0"/>
              <w:left w:val="dotted" w:color="auto" w:sz="4" w:space="0"/>
              <w:bottom w:val="dotted" w:color="auto" w:sz="4" w:space="0"/>
              <w:right w:val="nil"/>
            </w:tcBorders>
            <w:vAlign w:val="center"/>
          </w:tcPr>
          <w:p w14:paraId="446D120B">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799BD064">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exact"/>
          <w:jc w:val="center"/>
        </w:trPr>
        <w:tc>
          <w:tcPr>
            <w:tcW w:w="687" w:type="dxa"/>
            <w:vMerge w:val="continue"/>
            <w:tcBorders>
              <w:left w:val="nil"/>
              <w:right w:val="dotted" w:color="auto" w:sz="4" w:space="0"/>
            </w:tcBorders>
            <w:vAlign w:val="center"/>
          </w:tcPr>
          <w:p w14:paraId="42F35707">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0C5E8641">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29</w:t>
            </w:r>
          </w:p>
        </w:tc>
        <w:tc>
          <w:tcPr>
            <w:tcW w:w="3353" w:type="dxa"/>
            <w:tcBorders>
              <w:top w:val="dotted" w:color="auto" w:sz="4" w:space="0"/>
              <w:left w:val="dotted" w:color="auto" w:sz="4" w:space="0"/>
              <w:bottom w:val="dotted" w:color="auto" w:sz="4" w:space="0"/>
              <w:right w:val="dotted" w:color="auto" w:sz="4" w:space="0"/>
            </w:tcBorders>
            <w:vAlign w:val="center"/>
          </w:tcPr>
          <w:p w14:paraId="215135DF">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细颗粒物（PM</w:t>
            </w:r>
            <w:r>
              <w:rPr>
                <w:rFonts w:ascii="Times New Roman" w:hAnsi="Times New Roman" w:eastAsia="方正仿宋简体" w:cs="Times New Roman"/>
                <w:sz w:val="20"/>
                <w:szCs w:val="20"/>
                <w:highlight w:val="none"/>
                <w:vertAlign w:val="subscript"/>
              </w:rPr>
              <w:t>2.5</w:t>
            </w:r>
            <w:r>
              <w:rPr>
                <w:rFonts w:ascii="Times New Roman" w:hAnsi="Times New Roman" w:eastAsia="方正仿宋简体" w:cs="Times New Roman"/>
                <w:sz w:val="20"/>
                <w:szCs w:val="20"/>
                <w:highlight w:val="none"/>
              </w:rPr>
              <w:t>）浓度</w:t>
            </w:r>
          </w:p>
        </w:tc>
        <w:tc>
          <w:tcPr>
            <w:tcW w:w="869" w:type="dxa"/>
            <w:tcBorders>
              <w:top w:val="dotted" w:color="auto" w:sz="4" w:space="0"/>
              <w:left w:val="dotted" w:color="auto" w:sz="4" w:space="0"/>
              <w:bottom w:val="dotted" w:color="auto" w:sz="4" w:space="0"/>
              <w:right w:val="dotted" w:color="auto" w:sz="4" w:space="0"/>
            </w:tcBorders>
            <w:vAlign w:val="center"/>
          </w:tcPr>
          <w:p w14:paraId="438C5FB6">
            <w:pPr>
              <w:spacing w:line="240" w:lineRule="exact"/>
              <w:jc w:val="center"/>
              <w:rPr>
                <w:rFonts w:ascii="Times New Roman" w:hAnsi="Times New Roman" w:eastAsia="方正仿宋简体" w:cs="Times New Roman"/>
                <w:sz w:val="20"/>
                <w:szCs w:val="20"/>
                <w:highlight w:val="none"/>
              </w:rPr>
            </w:pPr>
            <w:r>
              <w:rPr>
                <w:rFonts w:hint="eastAsia" w:ascii="Times New Roman" w:hAnsi="Times New Roman" w:eastAsia="方正仿宋简体" w:cs="Times New Roman"/>
                <w:sz w:val="20"/>
                <w:szCs w:val="20"/>
                <w:highlight w:val="none"/>
              </w:rPr>
              <w:t>微克/立方米</w:t>
            </w:r>
          </w:p>
        </w:tc>
        <w:tc>
          <w:tcPr>
            <w:tcW w:w="2104" w:type="dxa"/>
            <w:tcBorders>
              <w:top w:val="dotted" w:color="auto" w:sz="4" w:space="0"/>
              <w:left w:val="dotted" w:color="auto" w:sz="4" w:space="0"/>
              <w:bottom w:val="dotted" w:color="auto" w:sz="4" w:space="0"/>
              <w:right w:val="dotted" w:color="auto" w:sz="4" w:space="0"/>
            </w:tcBorders>
            <w:vAlign w:val="center"/>
          </w:tcPr>
          <w:p w14:paraId="7B40AFB1">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达市定目标</w:t>
            </w:r>
          </w:p>
        </w:tc>
        <w:tc>
          <w:tcPr>
            <w:tcW w:w="911" w:type="dxa"/>
            <w:tcBorders>
              <w:top w:val="dotted" w:color="auto" w:sz="4" w:space="0"/>
              <w:left w:val="dotted" w:color="auto" w:sz="4" w:space="0"/>
              <w:bottom w:val="dotted" w:color="auto" w:sz="4" w:space="0"/>
              <w:right w:val="nil"/>
            </w:tcBorders>
            <w:vAlign w:val="center"/>
          </w:tcPr>
          <w:p w14:paraId="7BA10CB0">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31.2</w:t>
            </w:r>
          </w:p>
        </w:tc>
        <w:tc>
          <w:tcPr>
            <w:tcW w:w="806" w:type="dxa"/>
            <w:tcBorders>
              <w:top w:val="dotted" w:color="auto" w:sz="4" w:space="0"/>
              <w:left w:val="dotted" w:color="auto" w:sz="4" w:space="0"/>
              <w:bottom w:val="dotted" w:color="auto" w:sz="4" w:space="0"/>
              <w:right w:val="nil"/>
            </w:tcBorders>
            <w:vAlign w:val="center"/>
          </w:tcPr>
          <w:p w14:paraId="6C70B1A6">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996" w:type="dxa"/>
            <w:tcBorders>
              <w:top w:val="dotted" w:color="auto" w:sz="4" w:space="0"/>
              <w:left w:val="dotted" w:color="auto" w:sz="4" w:space="0"/>
              <w:bottom w:val="dotted" w:color="auto" w:sz="4" w:space="0"/>
              <w:right w:val="nil"/>
            </w:tcBorders>
            <w:vAlign w:val="center"/>
          </w:tcPr>
          <w:p w14:paraId="3A5C14EE">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3389A5B7">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exact"/>
          <w:jc w:val="center"/>
        </w:trPr>
        <w:tc>
          <w:tcPr>
            <w:tcW w:w="687" w:type="dxa"/>
            <w:vMerge w:val="continue"/>
            <w:tcBorders>
              <w:left w:val="nil"/>
              <w:bottom w:val="dotted" w:color="auto" w:sz="4" w:space="0"/>
              <w:right w:val="dotted" w:color="auto" w:sz="4" w:space="0"/>
            </w:tcBorders>
            <w:vAlign w:val="center"/>
          </w:tcPr>
          <w:p w14:paraId="699675AD">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4C2D56AC">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30</w:t>
            </w:r>
          </w:p>
        </w:tc>
        <w:tc>
          <w:tcPr>
            <w:tcW w:w="3353" w:type="dxa"/>
            <w:tcBorders>
              <w:top w:val="dotted" w:color="auto" w:sz="4" w:space="0"/>
              <w:left w:val="dotted" w:color="auto" w:sz="4" w:space="0"/>
              <w:bottom w:val="dotted" w:color="auto" w:sz="4" w:space="0"/>
              <w:right w:val="dotted" w:color="auto" w:sz="4" w:space="0"/>
            </w:tcBorders>
            <w:vAlign w:val="center"/>
          </w:tcPr>
          <w:p w14:paraId="0262E2C0">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地表水省考断面达到或好于Ⅲ类水质比例</w:t>
            </w:r>
          </w:p>
        </w:tc>
        <w:tc>
          <w:tcPr>
            <w:tcW w:w="869" w:type="dxa"/>
            <w:tcBorders>
              <w:top w:val="dotted" w:color="auto" w:sz="4" w:space="0"/>
              <w:left w:val="dotted" w:color="auto" w:sz="4" w:space="0"/>
              <w:bottom w:val="dotted" w:color="auto" w:sz="4" w:space="0"/>
              <w:right w:val="dotted" w:color="auto" w:sz="4" w:space="0"/>
            </w:tcBorders>
            <w:vAlign w:val="center"/>
          </w:tcPr>
          <w:p w14:paraId="26A18032">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2104" w:type="dxa"/>
            <w:tcBorders>
              <w:top w:val="dotted" w:color="auto" w:sz="4" w:space="0"/>
              <w:left w:val="dotted" w:color="auto" w:sz="4" w:space="0"/>
              <w:bottom w:val="dotted" w:color="auto" w:sz="4" w:space="0"/>
              <w:right w:val="dotted" w:color="auto" w:sz="4" w:space="0"/>
            </w:tcBorders>
            <w:vAlign w:val="center"/>
          </w:tcPr>
          <w:p w14:paraId="1CBFCA99">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达市定目标</w:t>
            </w:r>
          </w:p>
        </w:tc>
        <w:tc>
          <w:tcPr>
            <w:tcW w:w="911" w:type="dxa"/>
            <w:tcBorders>
              <w:top w:val="dotted" w:color="auto" w:sz="4" w:space="0"/>
              <w:left w:val="dotted" w:color="auto" w:sz="4" w:space="0"/>
              <w:bottom w:val="dotted" w:color="auto" w:sz="4" w:space="0"/>
              <w:right w:val="nil"/>
            </w:tcBorders>
            <w:vAlign w:val="center"/>
          </w:tcPr>
          <w:p w14:paraId="04CBFE31">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100</w:t>
            </w:r>
          </w:p>
        </w:tc>
        <w:tc>
          <w:tcPr>
            <w:tcW w:w="806" w:type="dxa"/>
            <w:tcBorders>
              <w:top w:val="dotted" w:color="auto" w:sz="4" w:space="0"/>
              <w:left w:val="dotted" w:color="auto" w:sz="4" w:space="0"/>
              <w:bottom w:val="dotted" w:color="auto" w:sz="4" w:space="0"/>
              <w:right w:val="nil"/>
            </w:tcBorders>
            <w:vAlign w:val="center"/>
          </w:tcPr>
          <w:p w14:paraId="20E35088">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996" w:type="dxa"/>
            <w:tcBorders>
              <w:top w:val="dotted" w:color="auto" w:sz="4" w:space="0"/>
              <w:left w:val="dotted" w:color="auto" w:sz="4" w:space="0"/>
              <w:bottom w:val="dotted" w:color="auto" w:sz="4" w:space="0"/>
              <w:right w:val="nil"/>
            </w:tcBorders>
            <w:vAlign w:val="center"/>
          </w:tcPr>
          <w:p w14:paraId="4B9523C2">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1B2C8BE6">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jc w:val="center"/>
        </w:trPr>
        <w:tc>
          <w:tcPr>
            <w:tcW w:w="687" w:type="dxa"/>
            <w:vMerge w:val="restart"/>
            <w:tcBorders>
              <w:top w:val="dotted" w:color="auto" w:sz="4" w:space="0"/>
              <w:left w:val="nil"/>
              <w:bottom w:val="dotted" w:color="auto" w:sz="4" w:space="0"/>
              <w:right w:val="dotted" w:color="auto" w:sz="4" w:space="0"/>
            </w:tcBorders>
            <w:vAlign w:val="center"/>
          </w:tcPr>
          <w:p w14:paraId="42A727F6">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安全韧性</w:t>
            </w:r>
          </w:p>
        </w:tc>
        <w:tc>
          <w:tcPr>
            <w:tcW w:w="621" w:type="dxa"/>
            <w:tcBorders>
              <w:top w:val="dotted" w:color="auto" w:sz="4" w:space="0"/>
              <w:left w:val="dotted" w:color="auto" w:sz="4" w:space="0"/>
              <w:bottom w:val="dotted" w:color="auto" w:sz="4" w:space="0"/>
              <w:right w:val="dotted" w:color="auto" w:sz="4" w:space="0"/>
            </w:tcBorders>
            <w:vAlign w:val="center"/>
          </w:tcPr>
          <w:p w14:paraId="21B4D0FA">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31</w:t>
            </w:r>
          </w:p>
        </w:tc>
        <w:tc>
          <w:tcPr>
            <w:tcW w:w="3353" w:type="dxa"/>
            <w:tcBorders>
              <w:top w:val="dotted" w:color="auto" w:sz="4" w:space="0"/>
              <w:left w:val="dotted" w:color="auto" w:sz="4" w:space="0"/>
              <w:bottom w:val="dotted" w:color="auto" w:sz="4" w:space="0"/>
              <w:right w:val="dotted" w:color="auto" w:sz="4" w:space="0"/>
            </w:tcBorders>
            <w:vAlign w:val="center"/>
          </w:tcPr>
          <w:p w14:paraId="30C1BAAC">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粮食综合生产能力</w:t>
            </w:r>
          </w:p>
        </w:tc>
        <w:tc>
          <w:tcPr>
            <w:tcW w:w="869" w:type="dxa"/>
            <w:tcBorders>
              <w:top w:val="dotted" w:color="auto" w:sz="4" w:space="0"/>
              <w:left w:val="dotted" w:color="auto" w:sz="4" w:space="0"/>
              <w:bottom w:val="dotted" w:color="auto" w:sz="4" w:space="0"/>
              <w:right w:val="dotted" w:color="auto" w:sz="4" w:space="0"/>
            </w:tcBorders>
            <w:vAlign w:val="center"/>
          </w:tcPr>
          <w:p w14:paraId="132326A3">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2104" w:type="dxa"/>
            <w:tcBorders>
              <w:top w:val="dotted" w:color="auto" w:sz="4" w:space="0"/>
              <w:left w:val="dotted" w:color="auto" w:sz="4" w:space="0"/>
              <w:bottom w:val="dotted" w:color="auto" w:sz="4" w:space="0"/>
              <w:right w:val="dotted" w:color="auto" w:sz="4" w:space="0"/>
            </w:tcBorders>
            <w:vAlign w:val="center"/>
          </w:tcPr>
          <w:p w14:paraId="468E0000">
            <w:pPr>
              <w:spacing w:line="240" w:lineRule="exact"/>
              <w:jc w:val="center"/>
              <w:rPr>
                <w:rFonts w:ascii="Times New Roman" w:hAnsi="Times New Roman" w:eastAsia="方正仿宋简体" w:cs="Times New Roman"/>
                <w:snapToGrid w:val="0"/>
                <w:sz w:val="20"/>
                <w:szCs w:val="20"/>
                <w:highlight w:val="none"/>
              </w:rPr>
            </w:pPr>
            <w:r>
              <w:rPr>
                <w:rFonts w:ascii="Times New Roman" w:hAnsi="Times New Roman" w:eastAsia="方正仿宋简体" w:cs="Times New Roman"/>
                <w:sz w:val="20"/>
                <w:szCs w:val="20"/>
                <w:highlight w:val="none"/>
              </w:rPr>
              <w:t>达市定目标</w:t>
            </w:r>
          </w:p>
        </w:tc>
        <w:tc>
          <w:tcPr>
            <w:tcW w:w="2713" w:type="dxa"/>
            <w:gridSpan w:val="3"/>
            <w:tcBorders>
              <w:top w:val="dotted" w:color="auto" w:sz="4" w:space="0"/>
              <w:left w:val="dotted" w:color="auto" w:sz="4" w:space="0"/>
              <w:bottom w:val="dotted" w:color="auto" w:sz="4" w:space="0"/>
              <w:right w:val="nil"/>
            </w:tcBorders>
            <w:vAlign w:val="center"/>
          </w:tcPr>
          <w:p w14:paraId="50A2D019">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夏粮</w:t>
            </w:r>
            <w:r>
              <w:rPr>
                <w:rFonts w:hint="eastAsia" w:ascii="Times New Roman" w:hAnsi="Times New Roman" w:eastAsia="方正仿宋简体" w:cs="Times New Roman"/>
                <w:sz w:val="20"/>
                <w:szCs w:val="20"/>
                <w:highlight w:val="none"/>
              </w:rPr>
              <w:t>种植</w:t>
            </w:r>
            <w:r>
              <w:rPr>
                <w:rFonts w:ascii="Times New Roman" w:hAnsi="Times New Roman" w:eastAsia="方正仿宋简体" w:cs="Times New Roman"/>
                <w:sz w:val="20"/>
                <w:szCs w:val="20"/>
                <w:highlight w:val="none"/>
              </w:rPr>
              <w:t>面积</w:t>
            </w:r>
            <w:r>
              <w:rPr>
                <w:rFonts w:hint="eastAsia" w:ascii="Times New Roman" w:hAnsi="Times New Roman" w:eastAsia="方正仿宋简体" w:cs="Times New Roman"/>
                <w:sz w:val="20"/>
                <w:szCs w:val="20"/>
                <w:highlight w:val="none"/>
              </w:rPr>
              <w:t>33.24</w:t>
            </w:r>
            <w:r>
              <w:rPr>
                <w:rFonts w:ascii="Times New Roman" w:hAnsi="Times New Roman" w:eastAsia="方正仿宋简体" w:cs="Times New Roman"/>
                <w:sz w:val="20"/>
                <w:szCs w:val="20"/>
                <w:highlight w:val="none"/>
              </w:rPr>
              <w:t>万亩</w:t>
            </w:r>
          </w:p>
          <w:p w14:paraId="11162F98">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夏粮总产</w:t>
            </w:r>
            <w:r>
              <w:rPr>
                <w:rFonts w:hint="eastAsia" w:ascii="Times New Roman" w:hAnsi="Times New Roman" w:eastAsia="方正仿宋简体" w:cs="Times New Roman"/>
                <w:sz w:val="20"/>
                <w:szCs w:val="20"/>
                <w:highlight w:val="none"/>
              </w:rPr>
              <w:t>11.24</w:t>
            </w:r>
            <w:r>
              <w:rPr>
                <w:rFonts w:ascii="Times New Roman" w:hAnsi="Times New Roman" w:eastAsia="方正仿宋简体" w:cs="Times New Roman"/>
                <w:sz w:val="20"/>
                <w:szCs w:val="20"/>
                <w:highlight w:val="none"/>
              </w:rPr>
              <w:t>万吨</w:t>
            </w:r>
          </w:p>
        </w:tc>
      </w:tr>
      <w:tr w14:paraId="6BBC9433">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jc w:val="center"/>
        </w:trPr>
        <w:tc>
          <w:tcPr>
            <w:tcW w:w="687" w:type="dxa"/>
            <w:vMerge w:val="continue"/>
            <w:tcBorders>
              <w:top w:val="dotted" w:color="auto" w:sz="4" w:space="0"/>
              <w:left w:val="nil"/>
              <w:bottom w:val="dotted" w:color="auto" w:sz="4" w:space="0"/>
              <w:right w:val="dotted" w:color="auto" w:sz="4" w:space="0"/>
            </w:tcBorders>
            <w:vAlign w:val="center"/>
          </w:tcPr>
          <w:p w14:paraId="16FFBA71">
            <w:pPr>
              <w:spacing w:line="240" w:lineRule="exact"/>
              <w:jc w:val="center"/>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6BA04A41">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32</w:t>
            </w:r>
          </w:p>
        </w:tc>
        <w:tc>
          <w:tcPr>
            <w:tcW w:w="3353" w:type="dxa"/>
            <w:tcBorders>
              <w:top w:val="dotted" w:color="auto" w:sz="4" w:space="0"/>
              <w:left w:val="dotted" w:color="auto" w:sz="4" w:space="0"/>
              <w:bottom w:val="dotted" w:color="auto" w:sz="4" w:space="0"/>
              <w:right w:val="dotted" w:color="auto" w:sz="4" w:space="0"/>
            </w:tcBorders>
            <w:vAlign w:val="center"/>
          </w:tcPr>
          <w:p w14:paraId="7F4D8B35">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耕地保有量</w:t>
            </w:r>
          </w:p>
        </w:tc>
        <w:tc>
          <w:tcPr>
            <w:tcW w:w="869" w:type="dxa"/>
            <w:tcBorders>
              <w:top w:val="dotted" w:color="auto" w:sz="4" w:space="0"/>
              <w:left w:val="dotted" w:color="auto" w:sz="4" w:space="0"/>
              <w:bottom w:val="dotted" w:color="auto" w:sz="4" w:space="0"/>
              <w:right w:val="dotted" w:color="auto" w:sz="4" w:space="0"/>
            </w:tcBorders>
            <w:vAlign w:val="center"/>
          </w:tcPr>
          <w:p w14:paraId="5CE26A29">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万公顷</w:t>
            </w:r>
          </w:p>
        </w:tc>
        <w:tc>
          <w:tcPr>
            <w:tcW w:w="2104" w:type="dxa"/>
            <w:tcBorders>
              <w:top w:val="dotted" w:color="auto" w:sz="4" w:space="0"/>
              <w:left w:val="dotted" w:color="auto" w:sz="4" w:space="0"/>
              <w:bottom w:val="dotted" w:color="auto" w:sz="4" w:space="0"/>
              <w:right w:val="dotted" w:color="auto" w:sz="4" w:space="0"/>
            </w:tcBorders>
            <w:vAlign w:val="center"/>
          </w:tcPr>
          <w:p w14:paraId="750F951C">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5.2</w:t>
            </w:r>
          </w:p>
        </w:tc>
        <w:tc>
          <w:tcPr>
            <w:tcW w:w="911" w:type="dxa"/>
            <w:tcBorders>
              <w:top w:val="dotted" w:color="auto" w:sz="4" w:space="0"/>
              <w:left w:val="dotted" w:color="auto" w:sz="4" w:space="0"/>
              <w:bottom w:val="dotted" w:color="auto" w:sz="4" w:space="0"/>
              <w:right w:val="dotted" w:color="auto" w:sz="4" w:space="0"/>
            </w:tcBorders>
            <w:vAlign w:val="center"/>
          </w:tcPr>
          <w:p w14:paraId="71D85ACA">
            <w:pPr>
              <w:spacing w:line="30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5.31</w:t>
            </w:r>
          </w:p>
        </w:tc>
        <w:tc>
          <w:tcPr>
            <w:tcW w:w="806" w:type="dxa"/>
            <w:tcBorders>
              <w:top w:val="dotted" w:color="auto" w:sz="4" w:space="0"/>
              <w:left w:val="dotted" w:color="auto" w:sz="4" w:space="0"/>
              <w:bottom w:val="dotted" w:color="auto" w:sz="4" w:space="0"/>
              <w:right w:val="dotted" w:color="auto" w:sz="4" w:space="0"/>
            </w:tcBorders>
            <w:vAlign w:val="center"/>
          </w:tcPr>
          <w:p w14:paraId="141FEEE5">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996" w:type="dxa"/>
            <w:tcBorders>
              <w:top w:val="dotted" w:color="auto" w:sz="4" w:space="0"/>
              <w:left w:val="dotted" w:color="auto" w:sz="4" w:space="0"/>
              <w:bottom w:val="dotted" w:color="auto" w:sz="4" w:space="0"/>
              <w:right w:val="nil"/>
            </w:tcBorders>
            <w:vAlign w:val="center"/>
          </w:tcPr>
          <w:p w14:paraId="281C963E">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是</w:t>
            </w:r>
          </w:p>
        </w:tc>
      </w:tr>
      <w:tr w14:paraId="57D7CA79">
        <w:tblPrEx>
          <w:tblBorders>
            <w:top w:val="double" w:color="auto" w:sz="4" w:space="0"/>
            <w:left w:val="none" w:color="auto" w:sz="0" w:space="0"/>
            <w:bottom w:val="dotted"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exact"/>
          <w:jc w:val="center"/>
        </w:trPr>
        <w:tc>
          <w:tcPr>
            <w:tcW w:w="687" w:type="dxa"/>
            <w:vMerge w:val="continue"/>
            <w:tcBorders>
              <w:top w:val="dotted" w:color="auto" w:sz="4" w:space="0"/>
              <w:left w:val="nil"/>
              <w:bottom w:val="dotted" w:color="auto" w:sz="4" w:space="0"/>
              <w:right w:val="dotted" w:color="auto" w:sz="4" w:space="0"/>
            </w:tcBorders>
          </w:tcPr>
          <w:p w14:paraId="3C8E53E6">
            <w:pPr>
              <w:spacing w:line="240" w:lineRule="exact"/>
              <w:rPr>
                <w:rFonts w:ascii="Times New Roman" w:hAnsi="Times New Roman" w:eastAsia="方正仿宋简体" w:cs="Times New Roman"/>
                <w:sz w:val="20"/>
                <w:szCs w:val="20"/>
                <w:highlight w:val="none"/>
              </w:rPr>
            </w:pPr>
          </w:p>
        </w:tc>
        <w:tc>
          <w:tcPr>
            <w:tcW w:w="621" w:type="dxa"/>
            <w:tcBorders>
              <w:top w:val="dotted" w:color="auto" w:sz="4" w:space="0"/>
              <w:left w:val="dotted" w:color="auto" w:sz="4" w:space="0"/>
              <w:bottom w:val="dotted" w:color="auto" w:sz="4" w:space="0"/>
              <w:right w:val="dotted" w:color="auto" w:sz="4" w:space="0"/>
            </w:tcBorders>
            <w:vAlign w:val="center"/>
          </w:tcPr>
          <w:p w14:paraId="3B3583A2">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33</w:t>
            </w:r>
          </w:p>
        </w:tc>
        <w:tc>
          <w:tcPr>
            <w:tcW w:w="3353" w:type="dxa"/>
            <w:tcBorders>
              <w:top w:val="dotted" w:color="auto" w:sz="4" w:space="0"/>
              <w:left w:val="dotted" w:color="auto" w:sz="4" w:space="0"/>
              <w:bottom w:val="dotted" w:color="auto" w:sz="4" w:space="0"/>
              <w:right w:val="dotted" w:color="auto" w:sz="4" w:space="0"/>
            </w:tcBorders>
            <w:vAlign w:val="center"/>
          </w:tcPr>
          <w:p w14:paraId="0F07B8F8">
            <w:pPr>
              <w:spacing w:line="240" w:lineRule="exact"/>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安全生产发展水平</w:t>
            </w:r>
          </w:p>
        </w:tc>
        <w:tc>
          <w:tcPr>
            <w:tcW w:w="869" w:type="dxa"/>
            <w:tcBorders>
              <w:top w:val="dotted" w:color="auto" w:sz="4" w:space="0"/>
              <w:left w:val="dotted" w:color="auto" w:sz="4" w:space="0"/>
              <w:bottom w:val="dotted" w:color="auto" w:sz="4" w:space="0"/>
              <w:right w:val="dotted" w:color="auto" w:sz="4" w:space="0"/>
            </w:tcBorders>
            <w:vAlign w:val="center"/>
          </w:tcPr>
          <w:p w14:paraId="364FB0C6">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w:t>
            </w:r>
          </w:p>
        </w:tc>
        <w:tc>
          <w:tcPr>
            <w:tcW w:w="2104" w:type="dxa"/>
            <w:tcBorders>
              <w:top w:val="dotted" w:color="auto" w:sz="4" w:space="0"/>
              <w:left w:val="dotted" w:color="auto" w:sz="4" w:space="0"/>
              <w:bottom w:val="dotted" w:color="auto" w:sz="4" w:space="0"/>
              <w:right w:val="dotted" w:color="auto" w:sz="4" w:space="0"/>
            </w:tcBorders>
            <w:vAlign w:val="center"/>
          </w:tcPr>
          <w:p w14:paraId="2A3D7BFD">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napToGrid w:val="0"/>
                <w:sz w:val="20"/>
                <w:szCs w:val="20"/>
                <w:highlight w:val="none"/>
              </w:rPr>
              <w:t>达市考核目标</w:t>
            </w:r>
          </w:p>
        </w:tc>
        <w:tc>
          <w:tcPr>
            <w:tcW w:w="2713" w:type="dxa"/>
            <w:gridSpan w:val="3"/>
            <w:tcBorders>
              <w:top w:val="dotted" w:color="auto" w:sz="4" w:space="0"/>
              <w:left w:val="dotted" w:color="auto" w:sz="4" w:space="0"/>
              <w:bottom w:val="dotted" w:color="auto" w:sz="4" w:space="0"/>
              <w:right w:val="nil"/>
            </w:tcBorders>
            <w:vAlign w:val="center"/>
          </w:tcPr>
          <w:p w14:paraId="13CA6D82">
            <w:pPr>
              <w:spacing w:line="240" w:lineRule="exact"/>
              <w:jc w:val="center"/>
              <w:rPr>
                <w:rFonts w:ascii="Times New Roman" w:hAnsi="Times New Roman" w:eastAsia="方正仿宋简体" w:cs="Times New Roman"/>
                <w:sz w:val="20"/>
                <w:szCs w:val="20"/>
                <w:highlight w:val="none"/>
              </w:rPr>
            </w:pPr>
            <w:r>
              <w:rPr>
                <w:rFonts w:ascii="Times New Roman" w:hAnsi="Times New Roman" w:eastAsia="方正仿宋简体" w:cs="Times New Roman"/>
                <w:sz w:val="20"/>
                <w:szCs w:val="20"/>
                <w:highlight w:val="none"/>
              </w:rPr>
              <w:t>年度指标</w:t>
            </w:r>
          </w:p>
        </w:tc>
      </w:tr>
    </w:tbl>
    <w:p w14:paraId="10298B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简体" w:cs="Times New Roman"/>
          <w:sz w:val="32"/>
          <w:szCs w:val="32"/>
          <w:highlight w:val="none"/>
        </w:rPr>
      </w:pPr>
      <w:r>
        <w:rPr>
          <w:rFonts w:ascii="Times New Roman" w:hAnsi="Times New Roman" w:eastAsia="方正楷体简体" w:cs="Times New Roman"/>
          <w:sz w:val="32"/>
          <w:szCs w:val="32"/>
          <w:highlight w:val="none"/>
        </w:rPr>
        <w:t>（二）重</w:t>
      </w:r>
      <w:r>
        <w:rPr>
          <w:rFonts w:hint="eastAsia" w:ascii="Times New Roman" w:hAnsi="Times New Roman" w:eastAsia="方正楷体简体" w:cs="Times New Roman"/>
          <w:sz w:val="32"/>
          <w:szCs w:val="32"/>
          <w:highlight w:val="none"/>
          <w:lang w:val="en-US" w:eastAsia="zh-CN"/>
        </w:rPr>
        <w:t>大</w:t>
      </w:r>
      <w:r>
        <w:rPr>
          <w:rFonts w:ascii="Times New Roman" w:hAnsi="Times New Roman" w:eastAsia="方正楷体简体" w:cs="Times New Roman"/>
          <w:sz w:val="32"/>
          <w:szCs w:val="32"/>
          <w:highlight w:val="none"/>
        </w:rPr>
        <w:t>项目进展情况</w:t>
      </w:r>
    </w:p>
    <w:p w14:paraId="24CC59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highlight w:val="none"/>
        </w:rPr>
      </w:pPr>
      <w:r>
        <w:rPr>
          <w:rFonts w:ascii="Times New Roman" w:hAnsi="Times New Roman" w:eastAsia="方正仿宋简体" w:cs="Times New Roman"/>
          <w:sz w:val="32"/>
          <w:szCs w:val="32"/>
          <w:highlight w:val="none"/>
        </w:rPr>
        <w:t>2025年全区重大项目156个，总投资1131.2亿元，当年计划投资173.1亿元，完成投资118亿元、占年度计划的68.1%，超序时进度</w:t>
      </w:r>
      <w:r>
        <w:rPr>
          <w:rFonts w:hint="eastAsia" w:ascii="Times New Roman" w:hAnsi="Times New Roman" w:eastAsia="方正仿宋简体" w:cs="Times New Roman"/>
          <w:sz w:val="32"/>
          <w:szCs w:val="32"/>
          <w:highlight w:val="none"/>
        </w:rPr>
        <w:t>18.1</w:t>
      </w:r>
      <w:r>
        <w:rPr>
          <w:rFonts w:ascii="Times New Roman" w:hAnsi="Times New Roman" w:eastAsia="方正仿宋简体" w:cs="Times New Roman"/>
          <w:sz w:val="32"/>
          <w:szCs w:val="32"/>
          <w:highlight w:val="none"/>
        </w:rPr>
        <w:t>个百分点；其中，产业类项目106个，完成当年计划投资64.4%</w:t>
      </w:r>
      <w:r>
        <w:rPr>
          <w:rFonts w:hint="eastAsia" w:ascii="Times New Roman" w:hAnsi="Times New Roman" w:eastAsia="方正仿宋简体" w:cs="Times New Roman"/>
          <w:sz w:val="32"/>
          <w:szCs w:val="32"/>
          <w:highlight w:val="none"/>
        </w:rPr>
        <w:t>、</w:t>
      </w:r>
      <w:r>
        <w:rPr>
          <w:rFonts w:ascii="Times New Roman" w:hAnsi="Times New Roman" w:eastAsia="方正仿宋简体" w:cs="Times New Roman"/>
          <w:sz w:val="32"/>
          <w:szCs w:val="32"/>
          <w:highlight w:val="none"/>
        </w:rPr>
        <w:t>超序时进度</w:t>
      </w:r>
      <w:r>
        <w:rPr>
          <w:rFonts w:hint="eastAsia" w:ascii="Times New Roman" w:hAnsi="Times New Roman" w:eastAsia="方正仿宋简体" w:cs="Times New Roman"/>
          <w:sz w:val="32"/>
          <w:szCs w:val="32"/>
          <w:highlight w:val="none"/>
        </w:rPr>
        <w:t>14.4</w:t>
      </w:r>
      <w:r>
        <w:rPr>
          <w:rFonts w:ascii="Times New Roman" w:hAnsi="Times New Roman" w:eastAsia="方正仿宋简体" w:cs="Times New Roman"/>
          <w:sz w:val="32"/>
          <w:szCs w:val="32"/>
          <w:highlight w:val="none"/>
        </w:rPr>
        <w:t>个百分点。2个</w:t>
      </w:r>
      <w:r>
        <w:rPr>
          <w:rFonts w:hint="eastAsia" w:ascii="Times New Roman" w:hAnsi="Times New Roman" w:eastAsia="方正仿宋简体" w:cs="Times New Roman"/>
          <w:sz w:val="32"/>
          <w:szCs w:val="32"/>
          <w:highlight w:val="none"/>
        </w:rPr>
        <w:t>省重大</w:t>
      </w:r>
      <w:r>
        <w:rPr>
          <w:rFonts w:hint="eastAsia" w:ascii="Times New Roman" w:hAnsi="Times New Roman" w:eastAsia="方正仿宋简体" w:cs="Times New Roman"/>
          <w:sz w:val="32"/>
          <w:szCs w:val="32"/>
          <w:highlight w:val="none"/>
          <w:lang w:val="en-US" w:eastAsia="zh-CN"/>
        </w:rPr>
        <w:t>项目</w:t>
      </w:r>
      <w:r>
        <w:rPr>
          <w:rFonts w:ascii="Times New Roman" w:hAnsi="Times New Roman" w:eastAsia="方正仿宋简体" w:cs="Times New Roman"/>
          <w:sz w:val="32"/>
          <w:szCs w:val="32"/>
          <w:highlight w:val="none"/>
        </w:rPr>
        <w:t>完成投资4.7亿元</w:t>
      </w:r>
      <w:r>
        <w:rPr>
          <w:rFonts w:hint="eastAsia" w:ascii="Times New Roman" w:hAnsi="Times New Roman" w:eastAsia="方正仿宋简体" w:cs="Times New Roman"/>
          <w:sz w:val="32"/>
          <w:szCs w:val="32"/>
          <w:highlight w:val="none"/>
        </w:rPr>
        <w:t>、</w:t>
      </w:r>
      <w:r>
        <w:rPr>
          <w:rFonts w:ascii="Times New Roman" w:hAnsi="Times New Roman" w:eastAsia="方正仿宋简体" w:cs="Times New Roman"/>
          <w:sz w:val="32"/>
          <w:szCs w:val="32"/>
          <w:highlight w:val="none"/>
        </w:rPr>
        <w:t>占年度计划的77.9%，</w:t>
      </w:r>
      <w:r>
        <w:rPr>
          <w:rFonts w:hint="eastAsia" w:ascii="Times New Roman" w:hAnsi="Times New Roman" w:eastAsia="方正仿宋简体" w:cs="Times New Roman"/>
          <w:sz w:val="32"/>
          <w:szCs w:val="32"/>
          <w:highlight w:val="none"/>
        </w:rPr>
        <w:t>超</w:t>
      </w:r>
      <w:r>
        <w:rPr>
          <w:rFonts w:ascii="Times New Roman" w:hAnsi="Times New Roman" w:eastAsia="方正仿宋简体" w:cs="Times New Roman"/>
          <w:sz w:val="32"/>
          <w:szCs w:val="32"/>
          <w:highlight w:val="none"/>
        </w:rPr>
        <w:t>序时进度</w:t>
      </w:r>
      <w:r>
        <w:rPr>
          <w:rFonts w:hint="eastAsia" w:ascii="Times New Roman" w:hAnsi="Times New Roman" w:eastAsia="方正仿宋简体" w:cs="Times New Roman"/>
          <w:sz w:val="32"/>
          <w:szCs w:val="32"/>
          <w:highlight w:val="none"/>
        </w:rPr>
        <w:t>27.9</w:t>
      </w:r>
      <w:r>
        <w:rPr>
          <w:rFonts w:ascii="Times New Roman" w:hAnsi="Times New Roman" w:eastAsia="方正仿宋简体" w:cs="Times New Roman"/>
          <w:sz w:val="32"/>
          <w:szCs w:val="32"/>
          <w:highlight w:val="none"/>
        </w:rPr>
        <w:t>个百分点</w:t>
      </w:r>
      <w:r>
        <w:rPr>
          <w:rFonts w:hint="eastAsia" w:ascii="Times New Roman" w:hAnsi="Times New Roman" w:eastAsia="方正仿宋简体" w:cs="Times New Roman"/>
          <w:sz w:val="32"/>
          <w:szCs w:val="32"/>
          <w:highlight w:val="none"/>
          <w:lang w:eastAsia="zh-CN"/>
        </w:rPr>
        <w:t>。</w:t>
      </w:r>
      <w:r>
        <w:rPr>
          <w:rFonts w:ascii="Times New Roman" w:hAnsi="Times New Roman" w:eastAsia="方正仿宋简体" w:cs="Times New Roman"/>
          <w:sz w:val="32"/>
          <w:szCs w:val="32"/>
          <w:highlight w:val="none"/>
        </w:rPr>
        <w:t>19个市重大项目完成投资44.4亿元、占年度计划的89.4%</w:t>
      </w:r>
      <w:r>
        <w:rPr>
          <w:rFonts w:hint="eastAsia" w:ascii="Times New Roman" w:hAnsi="Times New Roman" w:eastAsia="方正仿宋简体" w:cs="Times New Roman"/>
          <w:sz w:val="32"/>
          <w:szCs w:val="32"/>
          <w:highlight w:val="none"/>
        </w:rPr>
        <w:t>，</w:t>
      </w:r>
      <w:r>
        <w:rPr>
          <w:rFonts w:ascii="Times New Roman" w:hAnsi="Times New Roman" w:eastAsia="方正仿宋简体" w:cs="Times New Roman"/>
          <w:sz w:val="32"/>
          <w:szCs w:val="32"/>
          <w:highlight w:val="none"/>
        </w:rPr>
        <w:t>超序时进度39.4个百分点。省、市、区重大项目投资完成率</w:t>
      </w:r>
      <w:r>
        <w:rPr>
          <w:rFonts w:hint="eastAsia" w:ascii="Times New Roman" w:hAnsi="Times New Roman" w:eastAsia="方正仿宋简体" w:cs="Times New Roman"/>
          <w:sz w:val="32"/>
          <w:szCs w:val="32"/>
          <w:highlight w:val="none"/>
        </w:rPr>
        <w:t>远</w:t>
      </w:r>
      <w:r>
        <w:rPr>
          <w:rFonts w:ascii="Times New Roman" w:hAnsi="Times New Roman" w:eastAsia="方正仿宋简体" w:cs="Times New Roman"/>
          <w:sz w:val="32"/>
          <w:szCs w:val="32"/>
          <w:highlight w:val="none"/>
        </w:rPr>
        <w:t>超序时进度要求。</w:t>
      </w:r>
    </w:p>
    <w:p w14:paraId="4E96E5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简体" w:cs="Times New Roman"/>
          <w:sz w:val="32"/>
          <w:szCs w:val="32"/>
          <w:highlight w:val="none"/>
        </w:rPr>
      </w:pPr>
      <w:r>
        <w:rPr>
          <w:rFonts w:ascii="Times New Roman" w:hAnsi="Times New Roman" w:eastAsia="方正楷体简体" w:cs="Times New Roman"/>
          <w:sz w:val="32"/>
          <w:szCs w:val="32"/>
          <w:highlight w:val="none"/>
        </w:rPr>
        <w:t>（三）主要工作成效</w:t>
      </w:r>
    </w:p>
    <w:p w14:paraId="0DE7B2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上半年</w:t>
      </w:r>
      <w:r>
        <w:rPr>
          <w:rFonts w:ascii="Times New Roman" w:hAnsi="Times New Roman" w:eastAsia="方正仿宋简体" w:cs="Times New Roman"/>
          <w:sz w:val="32"/>
          <w:szCs w:val="32"/>
          <w:highlight w:val="none"/>
        </w:rPr>
        <w:t>，全区上下</w:t>
      </w:r>
      <w:r>
        <w:rPr>
          <w:rFonts w:hint="eastAsia" w:ascii="Times New Roman" w:hAnsi="Times New Roman" w:eastAsia="方正仿宋简体" w:cs="Times New Roman"/>
          <w:sz w:val="32"/>
          <w:szCs w:val="32"/>
          <w:highlight w:val="none"/>
        </w:rPr>
        <w:t>坚持目标导向、问题导向、结果导向，凝心聚力、</w:t>
      </w:r>
      <w:r>
        <w:rPr>
          <w:rFonts w:ascii="Times New Roman" w:hAnsi="Times New Roman" w:eastAsia="方正仿宋简体" w:cs="Times New Roman"/>
          <w:sz w:val="32"/>
          <w:szCs w:val="32"/>
          <w:highlight w:val="none"/>
        </w:rPr>
        <w:t>真抓实干、奋勇争先</w:t>
      </w:r>
      <w:r>
        <w:rPr>
          <w:rFonts w:hint="eastAsia" w:ascii="Times New Roman" w:hAnsi="Times New Roman" w:eastAsia="方正仿宋简体" w:cs="Times New Roman"/>
          <w:sz w:val="32"/>
          <w:szCs w:val="32"/>
          <w:highlight w:val="none"/>
        </w:rPr>
        <w:t>，在</w:t>
      </w:r>
      <w:r>
        <w:rPr>
          <w:rFonts w:ascii="Times New Roman" w:hAnsi="Times New Roman" w:eastAsia="方正仿宋简体" w:cs="Times New Roman"/>
          <w:sz w:val="32"/>
          <w:szCs w:val="32"/>
          <w:highlight w:val="none"/>
        </w:rPr>
        <w:t>推进产业强区、深化改革开放、建设宜居城市、改善环境质量、增进民生福祉等五个方面重点工作</w:t>
      </w:r>
      <w:r>
        <w:rPr>
          <w:rFonts w:hint="eastAsia" w:ascii="Times New Roman" w:hAnsi="Times New Roman" w:eastAsia="方正仿宋简体" w:cs="Times New Roman"/>
          <w:sz w:val="32"/>
          <w:szCs w:val="32"/>
          <w:highlight w:val="none"/>
        </w:rPr>
        <w:t>上</w:t>
      </w:r>
      <w:r>
        <w:rPr>
          <w:rFonts w:ascii="Times New Roman" w:hAnsi="Times New Roman" w:eastAsia="方正仿宋简体" w:cs="Times New Roman"/>
          <w:sz w:val="32"/>
          <w:szCs w:val="32"/>
          <w:highlight w:val="none"/>
        </w:rPr>
        <w:t>取得明显成效。</w:t>
      </w:r>
    </w:p>
    <w:p w14:paraId="0CAB8E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sz w:val="32"/>
          <w:szCs w:val="40"/>
          <w:highlight w:val="none"/>
        </w:rPr>
      </w:pPr>
      <w:r>
        <w:rPr>
          <w:rFonts w:ascii="Times New Roman" w:hAnsi="Times New Roman" w:eastAsia="方正楷体简体" w:cs="Times New Roman"/>
          <w:b/>
          <w:bCs/>
          <w:sz w:val="32"/>
          <w:szCs w:val="32"/>
          <w:highlight w:val="none"/>
        </w:rPr>
        <w:t>1.科技产业融合</w:t>
      </w:r>
      <w:r>
        <w:rPr>
          <w:rFonts w:hint="eastAsia" w:ascii="Times New Roman" w:hAnsi="Times New Roman" w:eastAsia="方正楷体简体" w:cs="Times New Roman"/>
          <w:b/>
          <w:bCs/>
          <w:sz w:val="32"/>
          <w:szCs w:val="32"/>
          <w:highlight w:val="none"/>
        </w:rPr>
        <w:t>加深</w:t>
      </w:r>
      <w:r>
        <w:rPr>
          <w:rFonts w:ascii="Times New Roman" w:hAnsi="Times New Roman" w:eastAsia="方正楷体简体" w:cs="Times New Roman"/>
          <w:b/>
          <w:bCs/>
          <w:sz w:val="32"/>
          <w:szCs w:val="32"/>
          <w:highlight w:val="none"/>
        </w:rPr>
        <w:t>，新质生产力培育壮大。</w:t>
      </w:r>
      <w:r>
        <w:rPr>
          <w:rFonts w:ascii="Times New Roman" w:hAnsi="Times New Roman" w:eastAsia="方正仿宋简体" w:cs="Times New Roman"/>
          <w:b/>
          <w:bCs/>
          <w:kern w:val="0"/>
          <w:sz w:val="32"/>
          <w:szCs w:val="40"/>
          <w:highlight w:val="none"/>
        </w:rPr>
        <w:t>创新要素加速集聚。</w:t>
      </w:r>
      <w:r>
        <w:rPr>
          <w:rFonts w:ascii="Times New Roman" w:hAnsi="Times New Roman" w:eastAsia="方正仿宋简体" w:cs="Times New Roman"/>
          <w:sz w:val="32"/>
          <w:szCs w:val="32"/>
          <w:highlight w:val="none"/>
        </w:rPr>
        <w:t>围绕“501科创产业带”轴线深化布局，南航国际创新港、南师大灵岩校区、南工职大</w:t>
      </w:r>
      <w:r>
        <w:rPr>
          <w:rFonts w:hint="eastAsia" w:ascii="Times New Roman" w:hAnsi="Times New Roman" w:eastAsia="方正仿宋简体" w:cs="Times New Roman"/>
          <w:sz w:val="32"/>
          <w:szCs w:val="32"/>
          <w:highlight w:val="none"/>
        </w:rPr>
        <w:t>龙袍校区</w:t>
      </w:r>
      <w:r>
        <w:rPr>
          <w:rFonts w:ascii="Times New Roman" w:hAnsi="Times New Roman" w:eastAsia="方正仿宋简体" w:cs="Times New Roman"/>
          <w:sz w:val="32"/>
          <w:szCs w:val="32"/>
          <w:highlight w:val="none"/>
        </w:rPr>
        <w:t>等重大载体建设全速推进，</w:t>
      </w:r>
      <w:r>
        <w:rPr>
          <w:rFonts w:hint="eastAsia" w:ascii="Times New Roman" w:hAnsi="Times New Roman" w:eastAsia="方正仿宋简体" w:cs="Times New Roman"/>
          <w:sz w:val="32"/>
          <w:szCs w:val="32"/>
          <w:highlight w:val="none"/>
        </w:rPr>
        <w:t>产业科技创新港</w:t>
      </w:r>
      <w:r>
        <w:rPr>
          <w:rFonts w:ascii="Times New Roman" w:hAnsi="Times New Roman" w:eastAsia="方正仿宋简体" w:cs="Times New Roman"/>
          <w:sz w:val="32"/>
          <w:szCs w:val="32"/>
          <w:highlight w:val="none"/>
        </w:rPr>
        <w:t>累计引入国家级重点实验室6个、省部级平台12个、校企联合实验室9个、人才和产业化项目130个以及高端人才200余名；</w:t>
      </w:r>
      <w:r>
        <w:rPr>
          <w:rFonts w:hint="eastAsia" w:ascii="Times New Roman" w:hAnsi="Times New Roman" w:eastAsia="方正仿宋简体" w:cs="Times New Roman"/>
          <w:sz w:val="32"/>
          <w:szCs w:val="32"/>
          <w:highlight w:val="none"/>
          <w:lang w:val="en-US" w:eastAsia="zh-CN"/>
        </w:rPr>
        <w:t>空天数智产业园</w:t>
      </w:r>
      <w:r>
        <w:rPr>
          <w:rFonts w:ascii="Times New Roman" w:hAnsi="Times New Roman" w:eastAsia="方正仿宋简体" w:cs="Times New Roman"/>
          <w:sz w:val="32"/>
          <w:szCs w:val="32"/>
          <w:highlight w:val="none"/>
        </w:rPr>
        <w:t>投入使用，航空航天产业园入驻率突破80%；规上企业研发费用同比增长10.9%；建成区技术转移交易中心；申报国家重点人才工程</w:t>
      </w:r>
      <w:r>
        <w:rPr>
          <w:rFonts w:hint="eastAsia" w:ascii="Times New Roman" w:hAnsi="Times New Roman" w:eastAsia="方正仿宋简体" w:cs="Times New Roman"/>
          <w:sz w:val="32"/>
          <w:szCs w:val="32"/>
          <w:highlight w:val="none"/>
          <w:lang w:val="en-US" w:eastAsia="zh-CN"/>
        </w:rPr>
        <w:t>A类</w:t>
      </w:r>
      <w:r>
        <w:rPr>
          <w:rFonts w:ascii="Times New Roman" w:hAnsi="Times New Roman" w:eastAsia="方正仿宋简体" w:cs="Times New Roman"/>
          <w:sz w:val="32"/>
          <w:szCs w:val="32"/>
          <w:highlight w:val="none"/>
        </w:rPr>
        <w:t>计划</w:t>
      </w:r>
      <w:r>
        <w:rPr>
          <w:rFonts w:hint="eastAsia" w:ascii="Times New Roman" w:hAnsi="Times New Roman" w:eastAsia="方正仿宋简体" w:cs="Times New Roman"/>
          <w:sz w:val="32"/>
          <w:szCs w:val="32"/>
          <w:highlight w:val="none"/>
          <w:lang w:val="en-US" w:eastAsia="zh-CN"/>
        </w:rPr>
        <w:t>67</w:t>
      </w:r>
      <w:r>
        <w:rPr>
          <w:rFonts w:ascii="Times New Roman" w:hAnsi="Times New Roman" w:eastAsia="方正仿宋简体" w:cs="Times New Roman"/>
          <w:sz w:val="32"/>
          <w:szCs w:val="32"/>
          <w:highlight w:val="none"/>
        </w:rPr>
        <w:t>人、省双创</w:t>
      </w:r>
      <w:r>
        <w:rPr>
          <w:rFonts w:hint="eastAsia" w:ascii="Times New Roman" w:hAnsi="Times New Roman" w:eastAsia="方正仿宋简体" w:cs="Times New Roman"/>
          <w:sz w:val="32"/>
          <w:szCs w:val="32"/>
          <w:highlight w:val="none"/>
          <w:lang w:val="en-US" w:eastAsia="zh-CN"/>
        </w:rPr>
        <w:t>计划14个</w:t>
      </w:r>
      <w:r>
        <w:rPr>
          <w:rFonts w:ascii="Times New Roman" w:hAnsi="Times New Roman" w:eastAsia="方正仿宋简体" w:cs="Times New Roman"/>
          <w:sz w:val="32"/>
          <w:szCs w:val="32"/>
          <w:highlight w:val="none"/>
        </w:rPr>
        <w:t>；利德东方通过国家级博士站认定。</w:t>
      </w:r>
      <w:r>
        <w:rPr>
          <w:rFonts w:ascii="Times New Roman" w:hAnsi="Times New Roman" w:eastAsia="方正仿宋简体" w:cs="Times New Roman"/>
          <w:b/>
          <w:bCs/>
          <w:kern w:val="0"/>
          <w:sz w:val="32"/>
          <w:szCs w:val="40"/>
          <w:highlight w:val="none"/>
        </w:rPr>
        <w:t>产业活力不断涌现。</w:t>
      </w:r>
      <w:r>
        <w:rPr>
          <w:rFonts w:ascii="Times New Roman" w:hAnsi="Times New Roman" w:eastAsia="方正仿宋简体" w:cs="Times New Roman"/>
          <w:sz w:val="32"/>
          <w:szCs w:val="32"/>
          <w:highlight w:val="none"/>
        </w:rPr>
        <w:t>大力实施经济发展提速增效行动，经济韧性、发展质效进一步凸显，规上工业总产值增长9.5%、排名全市第2；参与核算的规上服务业营收增长1</w:t>
      </w:r>
      <w:r>
        <w:rPr>
          <w:rFonts w:hint="eastAsia" w:ascii="Times New Roman" w:hAnsi="Times New Roman" w:eastAsia="方正仿宋简体" w:cs="Times New Roman"/>
          <w:sz w:val="32"/>
          <w:szCs w:val="32"/>
          <w:highlight w:val="none"/>
        </w:rPr>
        <w:t>6</w:t>
      </w:r>
      <w:r>
        <w:rPr>
          <w:rFonts w:ascii="Times New Roman" w:hAnsi="Times New Roman" w:eastAsia="方正仿宋简体" w:cs="Times New Roman"/>
          <w:sz w:val="32"/>
          <w:szCs w:val="32"/>
          <w:highlight w:val="none"/>
        </w:rPr>
        <w:t>.4%、排名全市第</w:t>
      </w:r>
      <w:r>
        <w:rPr>
          <w:rFonts w:hint="eastAsia" w:ascii="Times New Roman" w:hAnsi="Times New Roman" w:eastAsia="方正仿宋简体" w:cs="Times New Roman"/>
          <w:sz w:val="32"/>
          <w:szCs w:val="32"/>
          <w:highlight w:val="none"/>
        </w:rPr>
        <w:t>2</w:t>
      </w:r>
      <w:r>
        <w:rPr>
          <w:rFonts w:ascii="Times New Roman" w:hAnsi="Times New Roman" w:eastAsia="方正仿宋简体" w:cs="Times New Roman"/>
          <w:sz w:val="32"/>
          <w:szCs w:val="32"/>
          <w:highlight w:val="none"/>
        </w:rPr>
        <w:t>，其中租赁商务业、居民服务业、文体娱乐业等多个细分领域增幅超25%；3家企业入选省先进级智能工厂名单；新增规上工业、服务业企业</w:t>
      </w:r>
      <w:r>
        <w:rPr>
          <w:rFonts w:hint="eastAsia" w:ascii="Times New Roman" w:hAnsi="Times New Roman" w:eastAsia="方正仿宋简体" w:cs="Times New Roman"/>
          <w:sz w:val="32"/>
          <w:szCs w:val="32"/>
          <w:highlight w:val="none"/>
          <w:lang w:val="en-US" w:eastAsia="zh-CN"/>
        </w:rPr>
        <w:t>各</w:t>
      </w:r>
      <w:r>
        <w:rPr>
          <w:rFonts w:ascii="Times New Roman" w:hAnsi="Times New Roman" w:eastAsia="方正仿宋简体" w:cs="Times New Roman"/>
          <w:sz w:val="32"/>
          <w:szCs w:val="32"/>
          <w:highlight w:val="none"/>
        </w:rPr>
        <w:t>3家</w:t>
      </w:r>
      <w:r>
        <w:rPr>
          <w:rFonts w:hint="eastAsia" w:ascii="Times New Roman" w:hAnsi="Times New Roman" w:eastAsia="方正仿宋简体" w:cs="Times New Roman"/>
          <w:sz w:val="32"/>
          <w:szCs w:val="32"/>
          <w:highlight w:val="none"/>
        </w:rPr>
        <w:t>；</w:t>
      </w:r>
      <w:r>
        <w:rPr>
          <w:rFonts w:ascii="Times New Roman" w:hAnsi="Times New Roman" w:eastAsia="方正仿宋简体" w:cs="Times New Roman"/>
          <w:sz w:val="32"/>
          <w:szCs w:val="40"/>
          <w:highlight w:val="none"/>
        </w:rPr>
        <w:t>限上商品销售额增长8.1%</w:t>
      </w:r>
      <w:r>
        <w:rPr>
          <w:rFonts w:hint="eastAsia" w:ascii="Times New Roman" w:hAnsi="Times New Roman" w:eastAsia="方正仿宋简体" w:cs="Times New Roman"/>
          <w:sz w:val="32"/>
          <w:szCs w:val="40"/>
          <w:highlight w:val="none"/>
        </w:rPr>
        <w:t>；</w:t>
      </w:r>
      <w:r>
        <w:rPr>
          <w:rFonts w:ascii="Times New Roman" w:hAnsi="Times New Roman" w:eastAsia="方正仿宋简体" w:cs="Times New Roman"/>
          <w:sz w:val="32"/>
          <w:szCs w:val="32"/>
          <w:highlight w:val="none"/>
        </w:rPr>
        <w:t>新增限上贸易企业8家</w:t>
      </w:r>
      <w:r>
        <w:rPr>
          <w:rFonts w:hint="eastAsia" w:ascii="Times New Roman" w:hAnsi="Times New Roman" w:eastAsia="方正仿宋简体" w:cs="Times New Roman"/>
          <w:sz w:val="32"/>
          <w:szCs w:val="32"/>
          <w:highlight w:val="none"/>
        </w:rPr>
        <w:t>；新认定培育独角兽企业4家、瞪羚企业26家，其中，瞪羚企业数量较上一年度实现爆发式增长，增幅高达225%</w:t>
      </w:r>
      <w:r>
        <w:rPr>
          <w:rFonts w:ascii="Times New Roman" w:hAnsi="Times New Roman" w:eastAsia="方正仿宋简体" w:cs="Times New Roman"/>
          <w:sz w:val="32"/>
          <w:szCs w:val="32"/>
          <w:highlight w:val="none"/>
        </w:rPr>
        <w:t>。</w:t>
      </w:r>
      <w:r>
        <w:rPr>
          <w:rFonts w:ascii="Times New Roman" w:hAnsi="Times New Roman" w:eastAsia="方正仿宋简体" w:cs="Times New Roman"/>
          <w:b/>
          <w:bCs/>
          <w:kern w:val="0"/>
          <w:sz w:val="32"/>
          <w:szCs w:val="40"/>
          <w:highlight w:val="none"/>
        </w:rPr>
        <w:t>重大项目扎实推进。</w:t>
      </w:r>
      <w:r>
        <w:rPr>
          <w:rFonts w:hint="default" w:ascii="Times New Roman" w:hAnsi="Times New Roman" w:eastAsia="方正仿宋简体" w:cs="Times New Roman"/>
          <w:sz w:val="32"/>
          <w:szCs w:val="32"/>
          <w:highlight w:val="none"/>
        </w:rPr>
        <w:t>以招商体制机制“1+3+X”改革为契机，组建“1+5+N”产业基金集群</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深入推进精准招商、产业链招商、基金招商，</w:t>
      </w:r>
      <w:r>
        <w:rPr>
          <w:rFonts w:ascii="Times New Roman" w:hAnsi="Times New Roman" w:eastAsia="方正仿宋简体" w:cs="Times New Roman"/>
          <w:sz w:val="32"/>
          <w:szCs w:val="40"/>
          <w:highlight w:val="none"/>
        </w:rPr>
        <w:t>招引项目</w:t>
      </w:r>
      <w:r>
        <w:rPr>
          <w:rFonts w:hint="eastAsia" w:ascii="Times New Roman" w:hAnsi="Times New Roman" w:eastAsia="方正仿宋简体" w:cs="Times New Roman"/>
          <w:sz w:val="32"/>
          <w:szCs w:val="40"/>
          <w:highlight w:val="none"/>
        </w:rPr>
        <w:t>62</w:t>
      </w:r>
      <w:r>
        <w:rPr>
          <w:rFonts w:ascii="Times New Roman" w:hAnsi="Times New Roman" w:eastAsia="方正仿宋简体" w:cs="Times New Roman"/>
          <w:sz w:val="32"/>
          <w:szCs w:val="40"/>
          <w:highlight w:val="none"/>
        </w:rPr>
        <w:t>个，开工/运营项目</w:t>
      </w:r>
      <w:r>
        <w:rPr>
          <w:rFonts w:hint="eastAsia" w:ascii="Times New Roman" w:hAnsi="Times New Roman" w:eastAsia="方正仿宋简体" w:cs="Times New Roman"/>
          <w:sz w:val="32"/>
          <w:szCs w:val="40"/>
          <w:highlight w:val="none"/>
        </w:rPr>
        <w:t>29</w:t>
      </w:r>
      <w:r>
        <w:rPr>
          <w:rFonts w:ascii="Times New Roman" w:hAnsi="Times New Roman" w:eastAsia="方正仿宋简体" w:cs="Times New Roman"/>
          <w:sz w:val="32"/>
          <w:szCs w:val="40"/>
          <w:highlight w:val="none"/>
        </w:rPr>
        <w:t>个，实际投资总额</w:t>
      </w:r>
      <w:r>
        <w:rPr>
          <w:rFonts w:hint="eastAsia" w:ascii="Times New Roman" w:hAnsi="Times New Roman" w:eastAsia="方正仿宋简体" w:cs="Times New Roman"/>
          <w:sz w:val="32"/>
          <w:szCs w:val="40"/>
          <w:highlight w:val="none"/>
        </w:rPr>
        <w:t>53</w:t>
      </w:r>
      <w:r>
        <w:rPr>
          <w:rFonts w:ascii="Times New Roman" w:hAnsi="Times New Roman" w:eastAsia="方正仿宋简体" w:cs="Times New Roman"/>
          <w:sz w:val="32"/>
          <w:szCs w:val="40"/>
          <w:highlight w:val="none"/>
        </w:rPr>
        <w:t>亿元；</w:t>
      </w:r>
      <w:r>
        <w:rPr>
          <w:rFonts w:hint="default" w:ascii="Times New Roman" w:hAnsi="Times New Roman" w:eastAsia="方正仿宋简体" w:cs="Times New Roman"/>
          <w:sz w:val="32"/>
          <w:szCs w:val="40"/>
          <w:highlight w:val="none"/>
        </w:rPr>
        <w:t>投资20亿元的南京星河动力航天设备制造基地项目签约后2个月内实现开工</w:t>
      </w:r>
      <w:r>
        <w:rPr>
          <w:rFonts w:hint="eastAsia" w:ascii="Times New Roman" w:hAnsi="Times New Roman" w:eastAsia="方正仿宋简体" w:cs="Times New Roman"/>
          <w:sz w:val="32"/>
          <w:szCs w:val="40"/>
          <w:highlight w:val="none"/>
        </w:rPr>
        <w:t>；</w:t>
      </w:r>
      <w:r>
        <w:rPr>
          <w:rFonts w:ascii="Times New Roman" w:hAnsi="Times New Roman" w:eastAsia="方正仿宋简体" w:cs="Times New Roman"/>
          <w:sz w:val="32"/>
          <w:szCs w:val="40"/>
          <w:highlight w:val="none"/>
        </w:rPr>
        <w:t>29个市“双百工程”项目完成投资</w:t>
      </w:r>
      <w:r>
        <w:rPr>
          <w:rFonts w:hint="eastAsia" w:ascii="Times New Roman" w:hAnsi="Times New Roman" w:eastAsia="方正仿宋简体" w:cs="Times New Roman"/>
          <w:sz w:val="32"/>
          <w:szCs w:val="40"/>
          <w:highlight w:val="none"/>
        </w:rPr>
        <w:t>28.3</w:t>
      </w:r>
      <w:r>
        <w:rPr>
          <w:rFonts w:ascii="Times New Roman" w:hAnsi="Times New Roman" w:eastAsia="方正仿宋简体" w:cs="Times New Roman"/>
          <w:sz w:val="32"/>
          <w:szCs w:val="40"/>
          <w:highlight w:val="none"/>
        </w:rPr>
        <w:t>亿元，超序时进度</w:t>
      </w:r>
      <w:r>
        <w:rPr>
          <w:rFonts w:hint="eastAsia" w:ascii="Times New Roman" w:hAnsi="Times New Roman" w:eastAsia="方正仿宋简体" w:cs="Times New Roman"/>
          <w:sz w:val="32"/>
          <w:szCs w:val="40"/>
          <w:highlight w:val="none"/>
        </w:rPr>
        <w:t>53</w:t>
      </w:r>
      <w:r>
        <w:rPr>
          <w:rFonts w:ascii="Times New Roman" w:hAnsi="Times New Roman" w:eastAsia="方正仿宋简体" w:cs="Times New Roman"/>
          <w:sz w:val="32"/>
          <w:szCs w:val="40"/>
          <w:highlight w:val="none"/>
        </w:rPr>
        <w:t>个百分点；获批国债“两重”领域项目3个、“两新”领域项目2个</w:t>
      </w:r>
      <w:r>
        <w:rPr>
          <w:rFonts w:hint="eastAsia" w:ascii="Times New Roman" w:hAnsi="Times New Roman" w:eastAsia="方正仿宋简体" w:cs="Times New Roman"/>
          <w:sz w:val="32"/>
          <w:szCs w:val="40"/>
          <w:highlight w:val="none"/>
        </w:rPr>
        <w:t>、</w:t>
      </w:r>
      <w:r>
        <w:rPr>
          <w:rFonts w:ascii="Times New Roman" w:hAnsi="Times New Roman" w:eastAsia="方正仿宋简体" w:cs="Times New Roman"/>
          <w:sz w:val="32"/>
          <w:szCs w:val="40"/>
          <w:highlight w:val="none"/>
        </w:rPr>
        <w:t>专项债领域项目4个、中央预算内资金领域</w:t>
      </w:r>
      <w:r>
        <w:rPr>
          <w:rFonts w:hint="eastAsia" w:ascii="Times New Roman" w:hAnsi="Times New Roman" w:eastAsia="方正仿宋简体" w:cs="Times New Roman"/>
          <w:sz w:val="32"/>
          <w:szCs w:val="40"/>
          <w:highlight w:val="none"/>
        </w:rPr>
        <w:t>项</w:t>
      </w:r>
      <w:r>
        <w:rPr>
          <w:rFonts w:ascii="Times New Roman" w:hAnsi="Times New Roman" w:eastAsia="方正仿宋简体" w:cs="Times New Roman"/>
          <w:sz w:val="32"/>
          <w:szCs w:val="40"/>
          <w:highlight w:val="none"/>
        </w:rPr>
        <w:t>目1个，申领金额超</w:t>
      </w:r>
      <w:r>
        <w:rPr>
          <w:rFonts w:hint="eastAsia" w:ascii="Times New Roman" w:hAnsi="Times New Roman" w:eastAsia="方正仿宋简体" w:cs="Times New Roman"/>
          <w:sz w:val="32"/>
          <w:szCs w:val="40"/>
          <w:highlight w:val="none"/>
        </w:rPr>
        <w:t>3.3</w:t>
      </w:r>
      <w:r>
        <w:rPr>
          <w:rFonts w:ascii="Times New Roman" w:hAnsi="Times New Roman" w:eastAsia="方正仿宋简体" w:cs="Times New Roman"/>
          <w:sz w:val="32"/>
          <w:szCs w:val="40"/>
          <w:highlight w:val="none"/>
        </w:rPr>
        <w:t>亿元；积极争取中央和省级高标准农田建设资金1.64亿元；</w:t>
      </w:r>
      <w:r>
        <w:rPr>
          <w:rFonts w:ascii="Times New Roman" w:hAnsi="Times New Roman" w:eastAsia="方正仿宋简体" w:cs="Times New Roman"/>
          <w:sz w:val="32"/>
          <w:szCs w:val="32"/>
          <w:highlight w:val="none"/>
        </w:rPr>
        <w:t>深化“地等项目”，出让储备库内产业用地416亩；有序推进1105亩闲置低效工业用地盘活。</w:t>
      </w:r>
      <w:r>
        <w:rPr>
          <w:rFonts w:ascii="Times New Roman" w:hAnsi="Times New Roman" w:eastAsia="方正仿宋简体" w:cs="Times New Roman"/>
          <w:b/>
          <w:bCs/>
          <w:sz w:val="32"/>
          <w:szCs w:val="32"/>
          <w:highlight w:val="none"/>
        </w:rPr>
        <w:t>农旅融合深度发展。</w:t>
      </w:r>
      <w:r>
        <w:rPr>
          <w:rFonts w:ascii="Times New Roman" w:hAnsi="Times New Roman" w:eastAsia="方正仿宋简体" w:cs="Times New Roman"/>
          <w:sz w:val="32"/>
          <w:szCs w:val="32"/>
          <w:highlight w:val="none"/>
        </w:rPr>
        <w:t>全面实施单产提升行动，顺利完成夏收夏种工作，稳步推进5.48万亩高标准农田建设；</w:t>
      </w:r>
      <w:r>
        <w:rPr>
          <w:rFonts w:ascii="Times New Roman" w:hAnsi="Times New Roman" w:eastAsia="方正仿宋简体" w:cs="Times New Roman"/>
          <w:sz w:val="32"/>
          <w:szCs w:val="40"/>
          <w:highlight w:val="none"/>
        </w:rPr>
        <w:t>打响“茉莉六合”公用品牌，带动本地农产品销售7500万元；中福获评农业产业化</w:t>
      </w:r>
      <w:r>
        <w:rPr>
          <w:rFonts w:hint="eastAsia" w:ascii="Times New Roman" w:hAnsi="Times New Roman" w:eastAsia="方正仿宋简体" w:cs="Times New Roman"/>
          <w:sz w:val="32"/>
          <w:szCs w:val="40"/>
          <w:highlight w:val="none"/>
        </w:rPr>
        <w:t>国家</w:t>
      </w:r>
      <w:r>
        <w:rPr>
          <w:rFonts w:ascii="Times New Roman" w:hAnsi="Times New Roman" w:eastAsia="方正仿宋简体" w:cs="Times New Roman"/>
          <w:sz w:val="32"/>
          <w:szCs w:val="40"/>
          <w:highlight w:val="none"/>
        </w:rPr>
        <w:t>重点龙头企业；开通全市首条“公交同城快递专线”（</w:t>
      </w:r>
      <w:r>
        <w:rPr>
          <w:rFonts w:ascii="Times New Roman" w:hAnsi="Times New Roman" w:eastAsia="方正楷体简体" w:cs="Times New Roman"/>
          <w:sz w:val="32"/>
          <w:szCs w:val="40"/>
          <w:highlight w:val="none"/>
        </w:rPr>
        <w:t>小蓝鲸半日达</w:t>
      </w:r>
      <w:r>
        <w:rPr>
          <w:rFonts w:ascii="Times New Roman" w:hAnsi="Times New Roman" w:eastAsia="方正仿宋简体" w:cs="Times New Roman"/>
          <w:sz w:val="32"/>
          <w:szCs w:val="40"/>
          <w:highlight w:val="none"/>
        </w:rPr>
        <w:t>），农</w:t>
      </w:r>
      <w:r>
        <w:rPr>
          <w:rFonts w:hint="eastAsia" w:ascii="Times New Roman" w:hAnsi="Times New Roman" w:eastAsia="方正仿宋简体" w:cs="Times New Roman"/>
          <w:sz w:val="32"/>
          <w:szCs w:val="40"/>
          <w:highlight w:val="none"/>
          <w:lang w:val="en-US" w:eastAsia="zh-CN"/>
        </w:rPr>
        <w:t>产</w:t>
      </w:r>
      <w:bookmarkStart w:id="4" w:name="_GoBack"/>
      <w:bookmarkEnd w:id="4"/>
      <w:r>
        <w:rPr>
          <w:rFonts w:ascii="Times New Roman" w:hAnsi="Times New Roman" w:eastAsia="方正仿宋简体" w:cs="Times New Roman"/>
          <w:sz w:val="32"/>
          <w:szCs w:val="40"/>
          <w:highlight w:val="none"/>
        </w:rPr>
        <w:t>品进城迈入半日达时代；深入推进“富民强村”行动，重点培育鸽、肉鸡等</w:t>
      </w:r>
      <w:r>
        <w:rPr>
          <w:rFonts w:hint="eastAsia" w:ascii="Times New Roman" w:hAnsi="Times New Roman" w:eastAsia="方正仿宋简体" w:cs="Times New Roman"/>
          <w:sz w:val="32"/>
          <w:szCs w:val="40"/>
          <w:highlight w:val="none"/>
          <w:lang w:val="en-US" w:eastAsia="zh-CN"/>
        </w:rPr>
        <w:t>优势</w:t>
      </w:r>
      <w:r>
        <w:rPr>
          <w:rFonts w:ascii="Times New Roman" w:hAnsi="Times New Roman" w:eastAsia="方正仿宋简体" w:cs="Times New Roman"/>
          <w:sz w:val="32"/>
          <w:szCs w:val="40"/>
          <w:highlight w:val="none"/>
        </w:rPr>
        <w:t>产业，农村居民人均可支配收入同比增长5.1%；</w:t>
      </w:r>
      <w:r>
        <w:rPr>
          <w:rFonts w:ascii="Times New Roman" w:hAnsi="Times New Roman" w:eastAsia="方正仿宋简体" w:cs="Times New Roman"/>
          <w:sz w:val="32"/>
          <w:szCs w:val="32"/>
          <w:highlight w:val="none"/>
        </w:rPr>
        <w:t>丰富文旅产品供给，推出</w:t>
      </w:r>
      <w:r>
        <w:rPr>
          <w:rFonts w:hint="eastAsia" w:ascii="Times New Roman" w:hAnsi="Times New Roman" w:eastAsia="方正仿宋简体" w:cs="Times New Roman"/>
          <w:sz w:val="32"/>
          <w:szCs w:val="32"/>
          <w:highlight w:val="none"/>
        </w:rPr>
        <w:t>电音节、</w:t>
      </w:r>
      <w:r>
        <w:rPr>
          <w:rFonts w:ascii="Times New Roman" w:hAnsi="Times New Roman" w:eastAsia="方正仿宋简体" w:cs="Times New Roman"/>
          <w:sz w:val="32"/>
          <w:szCs w:val="32"/>
          <w:highlight w:val="none"/>
        </w:rPr>
        <w:t>非遗打铁花、烟花秀等夜游产品；</w:t>
      </w:r>
      <w:r>
        <w:rPr>
          <w:rFonts w:hint="eastAsia" w:ascii="Times New Roman" w:hAnsi="Times New Roman" w:eastAsia="方正仿宋简体" w:cs="Times New Roman"/>
          <w:sz w:val="32"/>
          <w:szCs w:val="32"/>
          <w:highlight w:val="none"/>
        </w:rPr>
        <w:t>金牛湖</w:t>
      </w:r>
      <w:r>
        <w:rPr>
          <w:rFonts w:hint="eastAsia" w:ascii="Times New Roman" w:hAnsi="Times New Roman" w:eastAsia="方正仿宋简体" w:cs="Times New Roman"/>
          <w:sz w:val="32"/>
          <w:szCs w:val="32"/>
          <w:highlight w:val="none"/>
          <w:lang w:val="en-US" w:eastAsia="zh-CN"/>
        </w:rPr>
        <w:t>冬捕节、</w:t>
      </w:r>
      <w:r>
        <w:rPr>
          <w:rFonts w:hint="eastAsia" w:ascii="Times New Roman" w:hAnsi="Times New Roman" w:eastAsia="方正仿宋简体" w:cs="Times New Roman"/>
          <w:sz w:val="32"/>
          <w:szCs w:val="32"/>
          <w:highlight w:val="none"/>
        </w:rPr>
        <w:t>动物王国动漫嘉年华、多乐拾趣花田乐园热气球节等活动精彩纷呈</w:t>
      </w:r>
      <w:r>
        <w:rPr>
          <w:rFonts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32"/>
          <w:highlight w:val="none"/>
          <w:lang w:val="en-US" w:eastAsia="zh-CN"/>
        </w:rPr>
        <w:t>推出研学旅游4大主题、8条线路、40余种新玩法；</w:t>
      </w:r>
      <w:r>
        <w:rPr>
          <w:rFonts w:ascii="Times New Roman" w:hAnsi="Times New Roman" w:eastAsia="方正仿宋简体" w:cs="Times New Roman"/>
          <w:sz w:val="32"/>
          <w:szCs w:val="32"/>
          <w:highlight w:val="none"/>
        </w:rPr>
        <w:t>全区旅游接待人次、旅游总收入均同比增长15%以上。</w:t>
      </w:r>
    </w:p>
    <w:p w14:paraId="421A26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楷体简体" w:cs="Times New Roman"/>
          <w:sz w:val="32"/>
          <w:szCs w:val="32"/>
          <w:highlight w:val="none"/>
        </w:rPr>
      </w:pPr>
      <w:r>
        <w:rPr>
          <w:rFonts w:ascii="Times New Roman" w:hAnsi="Times New Roman" w:eastAsia="方正楷体简体" w:cs="Times New Roman"/>
          <w:b/>
          <w:bCs/>
          <w:sz w:val="32"/>
          <w:szCs w:val="32"/>
          <w:highlight w:val="none"/>
        </w:rPr>
        <w:t>2.改革举措落地见效，区域一体化纵深拓展。</w:t>
      </w:r>
      <w:r>
        <w:rPr>
          <w:rFonts w:ascii="Times New Roman" w:hAnsi="Times New Roman" w:eastAsia="方正仿宋简体" w:cs="Times New Roman"/>
          <w:b/>
          <w:bCs/>
          <w:sz w:val="32"/>
          <w:szCs w:val="32"/>
          <w:highlight w:val="none"/>
        </w:rPr>
        <w:t>重点改革稳步实施。</w:t>
      </w:r>
      <w:r>
        <w:rPr>
          <w:rFonts w:ascii="Times New Roman" w:hAnsi="Times New Roman" w:eastAsia="方正仿宋简体" w:cs="Times New Roman"/>
          <w:sz w:val="32"/>
          <w:szCs w:val="32"/>
          <w:highlight w:val="none"/>
        </w:rPr>
        <w:t>深入开展国有企业改革深化提升行动，任务完成进度达94%；盘活闲置国有房产4.9万平方米；切实为基层减负，出台街道（</w:t>
      </w:r>
      <w:r>
        <w:rPr>
          <w:rFonts w:hint="eastAsia" w:ascii="方正楷体简体" w:hAnsi="方正楷体简体" w:eastAsia="方正楷体简体" w:cs="方正楷体简体"/>
          <w:sz w:val="32"/>
          <w:szCs w:val="32"/>
          <w:highlight w:val="none"/>
        </w:rPr>
        <w:t>镇</w:t>
      </w:r>
      <w:r>
        <w:rPr>
          <w:rFonts w:ascii="Times New Roman" w:hAnsi="Times New Roman" w:eastAsia="方正仿宋简体" w:cs="Times New Roman"/>
          <w:sz w:val="32"/>
          <w:szCs w:val="32"/>
          <w:highlight w:val="none"/>
        </w:rPr>
        <w:t>）履行职责事项清单；稳妥推进公安机关机构编制管理改革；全面推进土地二轮延包，完成</w:t>
      </w:r>
      <w:r>
        <w:rPr>
          <w:rFonts w:hint="eastAsia" w:ascii="Times New Roman" w:hAnsi="Times New Roman" w:eastAsia="方正仿宋简体" w:cs="Times New Roman"/>
          <w:sz w:val="32"/>
          <w:szCs w:val="32"/>
          <w:highlight w:val="none"/>
        </w:rPr>
        <w:t>近4万</w:t>
      </w:r>
      <w:r>
        <w:rPr>
          <w:rFonts w:ascii="Times New Roman" w:hAnsi="Times New Roman" w:eastAsia="方正仿宋简体" w:cs="Times New Roman"/>
          <w:sz w:val="32"/>
          <w:szCs w:val="32"/>
          <w:highlight w:val="none"/>
        </w:rPr>
        <w:t>户合同签订；深化农业用水权、农业水价综合改革，初步打通农业用水权向高附加值行业转让渠道；累计投入4.58亿元建设骨干工程及渠系，加速推进现代化灌区试点；积极探索教育数字化转型，</w:t>
      </w:r>
      <w:r>
        <w:rPr>
          <w:rFonts w:ascii="Times New Roman" w:hAnsi="Times New Roman" w:eastAsia="方正仿宋简体" w:cs="Times New Roman"/>
          <w:sz w:val="32"/>
          <w:szCs w:val="40"/>
          <w:highlight w:val="none"/>
        </w:rPr>
        <w:t>成立区中小学人工智能教育研究中心</w:t>
      </w:r>
      <w:r>
        <w:rPr>
          <w:rFonts w:ascii="Times New Roman" w:hAnsi="Times New Roman" w:eastAsia="方正仿宋简体" w:cs="Times New Roman"/>
          <w:sz w:val="32"/>
          <w:szCs w:val="32"/>
          <w:highlight w:val="none"/>
        </w:rPr>
        <w:t>。</w:t>
      </w:r>
      <w:r>
        <w:rPr>
          <w:rFonts w:ascii="Times New Roman" w:hAnsi="Times New Roman" w:eastAsia="方正仿宋简体" w:cs="Times New Roman"/>
          <w:b/>
          <w:bCs/>
          <w:sz w:val="32"/>
          <w:szCs w:val="32"/>
          <w:highlight w:val="none"/>
        </w:rPr>
        <w:t>营商环境持续优化。</w:t>
      </w:r>
      <w:r>
        <w:rPr>
          <w:rFonts w:hint="eastAsia" w:ascii="Times New Roman" w:hAnsi="Times New Roman" w:eastAsia="方正仿宋简体" w:cs="Times New Roman"/>
          <w:sz w:val="32"/>
          <w:szCs w:val="32"/>
          <w:highlight w:val="none"/>
        </w:rPr>
        <w:t>举办全区营商环境恳谈会；</w:t>
      </w:r>
      <w:r>
        <w:rPr>
          <w:rFonts w:hint="default" w:ascii="Times New Roman" w:hAnsi="Times New Roman" w:eastAsia="方正仿宋简体" w:cs="Times New Roman"/>
          <w:sz w:val="32"/>
          <w:szCs w:val="32"/>
          <w:highlight w:val="none"/>
        </w:rPr>
        <w:t>秉持“将心比心、说话算话”服务理念，落实首接负责制，开展“换位跑流程”行动，</w:t>
      </w:r>
      <w:r>
        <w:rPr>
          <w:rFonts w:hint="eastAsia" w:ascii="Times New Roman" w:hAnsi="Times New Roman" w:eastAsia="方正仿宋简体" w:cs="Times New Roman"/>
          <w:sz w:val="32"/>
          <w:highlight w:val="none"/>
        </w:rPr>
        <w:t>落实整改优化举措</w:t>
      </w:r>
      <w:r>
        <w:rPr>
          <w:rFonts w:ascii="Times New Roman" w:hAnsi="Times New Roman" w:eastAsia="方正仿宋简体" w:cs="Times New Roman"/>
          <w:sz w:val="32"/>
          <w:highlight w:val="none"/>
        </w:rPr>
        <w:t>172条</w:t>
      </w:r>
      <w:r>
        <w:rPr>
          <w:rFonts w:hint="eastAsia" w:ascii="Times New Roman" w:hAnsi="Times New Roman" w:eastAsia="方正仿宋简体" w:cs="Times New Roman"/>
          <w:sz w:val="32"/>
          <w:highlight w:val="none"/>
        </w:rPr>
        <w:t>，出台十方面35项法治化营商环境服务清单；</w:t>
      </w:r>
      <w:r>
        <w:rPr>
          <w:rFonts w:ascii="Times New Roman" w:hAnsi="Times New Roman" w:eastAsia="方正仿宋简体" w:cs="Times New Roman"/>
          <w:sz w:val="32"/>
          <w:highlight w:val="none"/>
        </w:rPr>
        <w:t>建立“企业身边的小管家”机制，走访企业</w:t>
      </w:r>
      <w:r>
        <w:rPr>
          <w:rFonts w:hint="eastAsia" w:ascii="Times New Roman" w:hAnsi="Times New Roman" w:eastAsia="方正仿宋简体" w:cs="Times New Roman"/>
          <w:sz w:val="32"/>
          <w:highlight w:val="none"/>
        </w:rPr>
        <w:t>310</w:t>
      </w:r>
      <w:r>
        <w:rPr>
          <w:rFonts w:ascii="Times New Roman" w:hAnsi="Times New Roman" w:eastAsia="方正仿宋简体" w:cs="Times New Roman"/>
          <w:sz w:val="32"/>
          <w:highlight w:val="none"/>
        </w:rPr>
        <w:t>余次，高效解决企业诉求；持续推广“轻微免罚”“首违不罚”，减免企业罚款超300万元；</w:t>
      </w:r>
      <w:r>
        <w:rPr>
          <w:rFonts w:ascii="Times New Roman" w:hAnsi="Times New Roman" w:eastAsia="仿宋" w:cs="Times New Roman"/>
          <w:sz w:val="32"/>
          <w:szCs w:val="32"/>
          <w:highlight w:val="none"/>
        </w:rPr>
        <w:t>深化</w:t>
      </w:r>
      <w:r>
        <w:rPr>
          <w:rFonts w:ascii="Times New Roman" w:hAnsi="Times New Roman" w:eastAsia="方正仿宋简体" w:cs="Times New Roman"/>
          <w:sz w:val="32"/>
          <w:highlight w:val="none"/>
        </w:rPr>
        <w:t>“综研联检”机制，</w:t>
      </w:r>
      <w:r>
        <w:rPr>
          <w:rFonts w:hint="eastAsia" w:ascii="Times New Roman" w:hAnsi="Times New Roman" w:eastAsia="方正仿宋简体" w:cs="Times New Roman"/>
          <w:sz w:val="32"/>
          <w:highlight w:val="none"/>
        </w:rPr>
        <w:t>区涉企综研联检服务中心实体化运行，推进</w:t>
      </w:r>
      <w:r>
        <w:rPr>
          <w:rFonts w:ascii="Times New Roman" w:hAnsi="Times New Roman" w:eastAsia="方正仿宋简体" w:cs="Times New Roman"/>
          <w:sz w:val="32"/>
          <w:highlight w:val="none"/>
        </w:rPr>
        <w:t>多部门联合检查，</w:t>
      </w:r>
      <w:r>
        <w:rPr>
          <w:rFonts w:ascii="Times New Roman" w:hAnsi="Times New Roman" w:eastAsia="方正仿宋简体" w:cs="Times New Roman"/>
          <w:sz w:val="32"/>
          <w:szCs w:val="32"/>
          <w:highlight w:val="none"/>
        </w:rPr>
        <w:t>减少入企检查95</w:t>
      </w:r>
      <w:r>
        <w:rPr>
          <w:rFonts w:hint="eastAsia" w:ascii="Times New Roman" w:hAnsi="Times New Roman" w:eastAsia="方正仿宋简体" w:cs="Times New Roman"/>
          <w:sz w:val="32"/>
          <w:szCs w:val="32"/>
          <w:highlight w:val="none"/>
          <w:lang w:val="en-US" w:eastAsia="zh-CN"/>
        </w:rPr>
        <w:t>0</w:t>
      </w:r>
      <w:r>
        <w:rPr>
          <w:rFonts w:ascii="Times New Roman" w:hAnsi="Times New Roman" w:eastAsia="方正仿宋简体" w:cs="Times New Roman"/>
          <w:sz w:val="32"/>
          <w:szCs w:val="32"/>
          <w:highlight w:val="none"/>
        </w:rPr>
        <w:t>余次；畅通银企对接渠道，“宁科贷”为科技企业放款</w:t>
      </w:r>
      <w:r>
        <w:rPr>
          <w:rFonts w:hint="eastAsia" w:ascii="Times New Roman" w:hAnsi="Times New Roman" w:eastAsia="方正仿宋简体" w:cs="Times New Roman"/>
          <w:sz w:val="32"/>
          <w:szCs w:val="32"/>
          <w:highlight w:val="none"/>
        </w:rPr>
        <w:t>20.72亿元</w:t>
      </w:r>
      <w:r>
        <w:rPr>
          <w:rFonts w:ascii="Times New Roman" w:hAnsi="Times New Roman" w:eastAsia="方正仿宋简体" w:cs="Times New Roman"/>
          <w:sz w:val="32"/>
          <w:szCs w:val="32"/>
          <w:highlight w:val="none"/>
        </w:rPr>
        <w:t>，</w:t>
      </w:r>
      <w:r>
        <w:rPr>
          <w:rFonts w:ascii="Times New Roman" w:hAnsi="Times New Roman" w:eastAsia="方正仿宋简体" w:cs="Times New Roman"/>
          <w:sz w:val="32"/>
          <w:highlight w:val="none"/>
        </w:rPr>
        <w:t>知识产权质押融资1.5亿元；成立知识产权运营中心，推动高校专利成果就地转化和产业化运营；</w:t>
      </w:r>
      <w:r>
        <w:rPr>
          <w:rFonts w:ascii="Times New Roman" w:hAnsi="Times New Roman" w:eastAsia="仿宋" w:cs="Times New Roman"/>
          <w:sz w:val="32"/>
          <w:szCs w:val="32"/>
          <w:highlight w:val="none"/>
        </w:rPr>
        <w:t>优化全链条式代办服务，</w:t>
      </w:r>
      <w:r>
        <w:rPr>
          <w:rFonts w:ascii="Times New Roman" w:hAnsi="Times New Roman" w:eastAsia="方正仿宋简体" w:cs="Times New Roman"/>
          <w:sz w:val="32"/>
          <w:szCs w:val="32"/>
          <w:highlight w:val="none"/>
        </w:rPr>
        <w:t>创新“肩并肩”陪跑模式，服务投资建设项目</w:t>
      </w:r>
      <w:r>
        <w:rPr>
          <w:rFonts w:ascii="Times New Roman" w:hAnsi="Times New Roman" w:eastAsia="仿宋" w:cs="Times New Roman"/>
          <w:sz w:val="32"/>
          <w:szCs w:val="32"/>
          <w:highlight w:val="none"/>
        </w:rPr>
        <w:t>167</w:t>
      </w:r>
      <w:r>
        <w:rPr>
          <w:rFonts w:ascii="Times New Roman" w:hAnsi="Times New Roman" w:eastAsia="方正仿宋简体" w:cs="Times New Roman"/>
          <w:sz w:val="32"/>
          <w:szCs w:val="32"/>
          <w:highlight w:val="none"/>
        </w:rPr>
        <w:t>个；30项“高效办成一件事”重点事项落地见效，</w:t>
      </w:r>
      <w:r>
        <w:rPr>
          <w:rFonts w:hint="default" w:ascii="Times New Roman" w:hAnsi="Times New Roman" w:eastAsia="方正仿宋简体" w:cs="Times New Roman"/>
          <w:sz w:val="32"/>
          <w:szCs w:val="32"/>
          <w:highlight w:val="none"/>
        </w:rPr>
        <w:t>“一件事”办理时间平均减少50%以上</w:t>
      </w:r>
      <w:r>
        <w:rPr>
          <w:rFonts w:ascii="Times New Roman" w:hAnsi="Times New Roman" w:eastAsia="方正仿宋简体" w:cs="Times New Roman"/>
          <w:sz w:val="32"/>
          <w:szCs w:val="32"/>
          <w:highlight w:val="none"/>
        </w:rPr>
        <w:t>。</w:t>
      </w:r>
      <w:r>
        <w:rPr>
          <w:rFonts w:ascii="Times New Roman" w:hAnsi="Times New Roman" w:eastAsia="方正仿宋简体" w:cs="Times New Roman"/>
          <w:b/>
          <w:bCs/>
          <w:sz w:val="32"/>
          <w:szCs w:val="32"/>
          <w:highlight w:val="none"/>
        </w:rPr>
        <w:t>内外循环更趋通畅。</w:t>
      </w:r>
      <w:r>
        <w:rPr>
          <w:rFonts w:ascii="Times New Roman" w:hAnsi="Times New Roman" w:eastAsia="方正仿宋简体" w:cs="Times New Roman"/>
          <w:sz w:val="32"/>
          <w:szCs w:val="32"/>
          <w:highlight w:val="none"/>
        </w:rPr>
        <w:t>深化市域协调联动发展，</w:t>
      </w:r>
      <w:r>
        <w:rPr>
          <w:rFonts w:hint="eastAsia" w:ascii="Times New Roman" w:hAnsi="Times New Roman" w:eastAsia="方正仿宋简体" w:cs="Times New Roman"/>
          <w:sz w:val="32"/>
          <w:szCs w:val="32"/>
          <w:highlight w:val="none"/>
        </w:rPr>
        <w:t>分别</w:t>
      </w:r>
      <w:r>
        <w:rPr>
          <w:rFonts w:ascii="Times New Roman" w:hAnsi="Times New Roman" w:eastAsia="方正仿宋简体" w:cs="Times New Roman"/>
          <w:sz w:val="32"/>
          <w:szCs w:val="32"/>
          <w:highlight w:val="none"/>
        </w:rPr>
        <w:t>与江北新区、栖霞区签署</w:t>
      </w:r>
      <w:r>
        <w:rPr>
          <w:rFonts w:hint="eastAsia" w:ascii="Times New Roman" w:hAnsi="Times New Roman" w:eastAsia="方正仿宋简体" w:cs="Times New Roman"/>
          <w:sz w:val="32"/>
          <w:szCs w:val="32"/>
          <w:highlight w:val="none"/>
        </w:rPr>
        <w:t>一体化</w:t>
      </w:r>
      <w:r>
        <w:rPr>
          <w:rFonts w:ascii="Times New Roman" w:hAnsi="Times New Roman" w:eastAsia="方正仿宋简体" w:cs="Times New Roman"/>
          <w:sz w:val="32"/>
          <w:szCs w:val="32"/>
          <w:highlight w:val="none"/>
        </w:rPr>
        <w:t>合作协议，在产业发展、科技创新、招商引资等领域进一步深化合作；积极融入区域一体化战略，</w:t>
      </w:r>
      <w:r>
        <w:rPr>
          <w:rFonts w:hint="eastAsia" w:ascii="Times New Roman" w:hAnsi="Times New Roman" w:eastAsia="方正仿宋简体" w:cs="Times New Roman"/>
          <w:sz w:val="32"/>
          <w:szCs w:val="32"/>
          <w:highlight w:val="none"/>
          <w:lang w:val="en-US" w:eastAsia="zh-CN"/>
        </w:rPr>
        <w:t>分别</w:t>
      </w:r>
      <w:r>
        <w:rPr>
          <w:rFonts w:ascii="Times New Roman" w:hAnsi="Times New Roman" w:eastAsia="方正仿宋简体" w:cs="Times New Roman"/>
          <w:sz w:val="32"/>
          <w:szCs w:val="32"/>
          <w:highlight w:val="none"/>
        </w:rPr>
        <w:t>与天长</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rPr>
        <w:t>来安签署</w:t>
      </w:r>
      <w:r>
        <w:rPr>
          <w:rFonts w:ascii="Times New Roman" w:hAnsi="Times New Roman" w:eastAsia="方正仿宋简体" w:cs="Times New Roman"/>
          <w:sz w:val="32"/>
          <w:szCs w:val="32"/>
          <w:highlight w:val="none"/>
        </w:rPr>
        <w:t>共建</w:t>
      </w:r>
      <w:r>
        <w:rPr>
          <w:rFonts w:hint="eastAsia" w:ascii="Times New Roman" w:hAnsi="Times New Roman" w:eastAsia="方正仿宋简体" w:cs="Times New Roman"/>
          <w:sz w:val="32"/>
          <w:szCs w:val="32"/>
          <w:highlight w:val="none"/>
        </w:rPr>
        <w:t>省际</w:t>
      </w:r>
      <w:r>
        <w:rPr>
          <w:rFonts w:ascii="Times New Roman" w:hAnsi="Times New Roman" w:eastAsia="方正仿宋简体" w:cs="Times New Roman"/>
          <w:sz w:val="32"/>
          <w:szCs w:val="32"/>
          <w:highlight w:val="none"/>
        </w:rPr>
        <w:t>毗邻新型功能区</w:t>
      </w:r>
      <w:r>
        <w:rPr>
          <w:rFonts w:hint="eastAsia" w:ascii="Times New Roman" w:hAnsi="Times New Roman" w:eastAsia="方正仿宋简体" w:cs="Times New Roman"/>
          <w:sz w:val="32"/>
          <w:szCs w:val="32"/>
          <w:highlight w:val="none"/>
        </w:rPr>
        <w:t>协议</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战略合作协议</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rPr>
        <w:t>加快</w:t>
      </w:r>
      <w:r>
        <w:rPr>
          <w:rFonts w:hint="eastAsia" w:ascii="Times New Roman" w:hAnsi="Times New Roman" w:eastAsia="方正仿宋简体" w:cs="Times New Roman"/>
          <w:sz w:val="32"/>
          <w:szCs w:val="32"/>
          <w:highlight w:val="none"/>
          <w:lang w:val="en-US" w:eastAsia="zh-CN"/>
        </w:rPr>
        <w:t>与</w:t>
      </w:r>
      <w:r>
        <w:rPr>
          <w:rFonts w:hint="eastAsia" w:ascii="Times New Roman" w:hAnsi="Times New Roman" w:eastAsia="方正仿宋简体" w:cs="Times New Roman"/>
          <w:sz w:val="32"/>
          <w:szCs w:val="32"/>
          <w:highlight w:val="none"/>
        </w:rPr>
        <w:t>仪征一体化合作洽谈</w:t>
      </w:r>
      <w:r>
        <w:rPr>
          <w:rFonts w:ascii="Times New Roman" w:hAnsi="Times New Roman" w:eastAsia="方正仿宋简体" w:cs="Times New Roman"/>
          <w:sz w:val="32"/>
          <w:szCs w:val="32"/>
          <w:highlight w:val="none"/>
        </w:rPr>
        <w:t>；</w:t>
      </w:r>
      <w:r>
        <w:rPr>
          <w:rFonts w:ascii="Times New Roman" w:hAnsi="Times New Roman" w:eastAsia="方正仿宋简体" w:cs="Times New Roman"/>
          <w:kern w:val="0"/>
          <w:sz w:val="32"/>
          <w:szCs w:val="32"/>
          <w:highlight w:val="none"/>
        </w:rPr>
        <w:t>举办金牛湖茉莉花音乐节等特色活动，</w:t>
      </w:r>
      <w:r>
        <w:rPr>
          <w:rFonts w:ascii="Times New Roman" w:hAnsi="Times New Roman" w:eastAsia="方正仿宋_GBK" w:cs="Times New Roman"/>
          <w:sz w:val="32"/>
          <w:szCs w:val="32"/>
          <w:highlight w:val="none"/>
        </w:rPr>
        <w:t>开展消费品以旧换新活动20余场，</w:t>
      </w:r>
      <w:r>
        <w:rPr>
          <w:rFonts w:ascii="Times New Roman" w:hAnsi="Times New Roman" w:eastAsia="方正仿宋简体" w:cs="Times New Roman"/>
          <w:sz w:val="32"/>
          <w:szCs w:val="40"/>
          <w:highlight w:val="none"/>
        </w:rPr>
        <w:t>打造消费新场景50余个，</w:t>
      </w:r>
      <w:r>
        <w:rPr>
          <w:rFonts w:ascii="Times New Roman" w:hAnsi="Times New Roman" w:eastAsia="方正仿宋简体" w:cs="Times New Roman"/>
          <w:sz w:val="32"/>
          <w:szCs w:val="32"/>
          <w:highlight w:val="none"/>
        </w:rPr>
        <w:t>引进区域首店25家</w:t>
      </w:r>
      <w:r>
        <w:rPr>
          <w:rFonts w:ascii="Times New Roman" w:hAnsi="Times New Roman" w:eastAsia="方正仿宋_GBK" w:cs="Times New Roman"/>
          <w:sz w:val="32"/>
          <w:szCs w:val="32"/>
          <w:highlight w:val="none"/>
        </w:rPr>
        <w:t>；</w:t>
      </w:r>
      <w:r>
        <w:rPr>
          <w:rFonts w:ascii="Times New Roman" w:hAnsi="Times New Roman" w:eastAsia="方正仿宋简体" w:cs="Times New Roman"/>
          <w:sz w:val="32"/>
          <w:szCs w:val="32"/>
          <w:highlight w:val="none"/>
        </w:rPr>
        <w:t>设立“外贸优品中华行·六合站”专区，组织优质外贸企业集中入驻展销；</w:t>
      </w:r>
      <w:r>
        <w:rPr>
          <w:rFonts w:hint="eastAsia" w:ascii="Times New Roman" w:hAnsi="Times New Roman" w:eastAsia="方正仿宋简体" w:cs="Times New Roman"/>
          <w:sz w:val="32"/>
          <w:szCs w:val="32"/>
          <w:highlight w:val="none"/>
        </w:rPr>
        <w:t>支持出海企业突破贸易</w:t>
      </w:r>
      <w:r>
        <w:rPr>
          <w:rFonts w:hint="default" w:ascii="Times New Roman" w:hAnsi="Times New Roman" w:eastAsia="方正仿宋简体" w:cs="Times New Roman"/>
          <w:sz w:val="32"/>
          <w:szCs w:val="32"/>
          <w:highlight w:val="none"/>
        </w:rPr>
        <w:t>壁垒，构建“抱团出海”“借港出海”外贸新模式，推进跨境电商海外仓</w:t>
      </w:r>
      <w:r>
        <w:rPr>
          <w:rFonts w:hint="eastAsia" w:ascii="Times New Roman" w:hAnsi="Times New Roman" w:eastAsia="方正仿宋简体" w:cs="Times New Roman"/>
          <w:sz w:val="32"/>
          <w:szCs w:val="32"/>
          <w:highlight w:val="none"/>
        </w:rPr>
        <w:t>加快发展，</w:t>
      </w:r>
      <w:r>
        <w:rPr>
          <w:rFonts w:ascii="Times New Roman" w:hAnsi="Times New Roman" w:eastAsia="方正仿宋简体" w:cs="Times New Roman"/>
          <w:sz w:val="32"/>
          <w:szCs w:val="32"/>
          <w:highlight w:val="none"/>
        </w:rPr>
        <w:t>全区跨境电商交易额突破12亿元</w:t>
      </w:r>
      <w:r>
        <w:rPr>
          <w:rFonts w:hint="eastAsia" w:ascii="Times New Roman" w:hAnsi="Times New Roman" w:eastAsia="方正仿宋简体" w:cs="Times New Roman"/>
          <w:sz w:val="32"/>
          <w:szCs w:val="32"/>
          <w:highlight w:val="none"/>
        </w:rPr>
        <w:t>，提前完成全年目标任务</w:t>
      </w:r>
      <w:r>
        <w:rPr>
          <w:rFonts w:ascii="Times New Roman" w:hAnsi="Times New Roman" w:eastAsia="方正仿宋简体" w:cs="Times New Roman"/>
          <w:sz w:val="32"/>
          <w:szCs w:val="32"/>
          <w:highlight w:val="none"/>
        </w:rPr>
        <w:t>。</w:t>
      </w:r>
    </w:p>
    <w:p w14:paraId="7C40732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黑体简体" w:cs="Times New Roman"/>
          <w:sz w:val="32"/>
          <w:szCs w:val="32"/>
          <w:highlight w:val="none"/>
        </w:rPr>
      </w:pPr>
      <w:r>
        <w:rPr>
          <w:rFonts w:ascii="Times New Roman" w:hAnsi="Times New Roman" w:eastAsia="方正楷体简体" w:cs="Times New Roman"/>
          <w:b/>
          <w:bCs/>
          <w:sz w:val="32"/>
          <w:szCs w:val="32"/>
          <w:highlight w:val="none"/>
        </w:rPr>
        <w:t>3.城乡建设协同提质，</w:t>
      </w:r>
      <w:r>
        <w:rPr>
          <w:rFonts w:hint="eastAsia" w:ascii="Times New Roman" w:hAnsi="Times New Roman" w:eastAsia="方正楷体简体" w:cs="Times New Roman"/>
          <w:b/>
          <w:bCs/>
          <w:sz w:val="32"/>
          <w:szCs w:val="32"/>
          <w:highlight w:val="none"/>
        </w:rPr>
        <w:t>宜居功能显著提升</w:t>
      </w:r>
      <w:r>
        <w:rPr>
          <w:rFonts w:ascii="Times New Roman" w:hAnsi="Times New Roman" w:eastAsia="方正楷体简体" w:cs="Times New Roman"/>
          <w:b/>
          <w:bCs/>
          <w:sz w:val="32"/>
          <w:szCs w:val="32"/>
          <w:highlight w:val="none"/>
        </w:rPr>
        <w:t>。</w:t>
      </w:r>
      <w:r>
        <w:rPr>
          <w:rFonts w:ascii="Times New Roman" w:hAnsi="Times New Roman" w:eastAsia="方正仿宋简体" w:cs="Times New Roman"/>
          <w:b/>
          <w:bCs/>
          <w:sz w:val="32"/>
          <w:szCs w:val="32"/>
          <w:highlight w:val="none"/>
        </w:rPr>
        <w:t>基础设施加快建设。</w:t>
      </w:r>
      <w:r>
        <w:rPr>
          <w:rFonts w:ascii="Times New Roman" w:hAnsi="Times New Roman" w:eastAsia="方正仿宋简体" w:cs="Times New Roman"/>
          <w:sz w:val="32"/>
          <w:szCs w:val="32"/>
          <w:highlight w:val="none"/>
        </w:rPr>
        <w:t>全力</w:t>
      </w:r>
      <w:r>
        <w:rPr>
          <w:rFonts w:hint="eastAsia" w:ascii="Times New Roman" w:hAnsi="Times New Roman" w:eastAsia="方正仿宋简体" w:cs="Times New Roman"/>
          <w:sz w:val="32"/>
          <w:szCs w:val="32"/>
          <w:highlight w:val="none"/>
          <w:lang w:val="en-US" w:eastAsia="zh-CN"/>
        </w:rPr>
        <w:t>服务</w:t>
      </w:r>
      <w:r>
        <w:rPr>
          <w:rFonts w:ascii="Times New Roman" w:hAnsi="Times New Roman" w:eastAsia="方正仿宋简体" w:cs="Times New Roman"/>
          <w:sz w:val="32"/>
          <w:szCs w:val="32"/>
          <w:highlight w:val="none"/>
        </w:rPr>
        <w:t>北沿江高铁、宁淮城际铁路、宁盐高速、宁滁高速、328国道、501省道等省市重大项目</w:t>
      </w:r>
      <w:r>
        <w:rPr>
          <w:rFonts w:hint="eastAsia" w:ascii="Times New Roman" w:hAnsi="Times New Roman" w:eastAsia="方正仿宋简体" w:cs="Times New Roman"/>
          <w:sz w:val="32"/>
          <w:szCs w:val="32"/>
          <w:highlight w:val="none"/>
        </w:rPr>
        <w:t>建设</w:t>
      </w:r>
      <w:r>
        <w:rPr>
          <w:rFonts w:ascii="Times New Roman" w:hAnsi="Times New Roman" w:eastAsia="方正仿宋简体" w:cs="Times New Roman"/>
          <w:sz w:val="32"/>
          <w:szCs w:val="32"/>
          <w:highlight w:val="none"/>
        </w:rPr>
        <w:t>，422省道年度投资过半；六瓜公路（</w:t>
      </w:r>
      <w:r>
        <w:rPr>
          <w:rFonts w:ascii="Times New Roman" w:hAnsi="Times New Roman" w:eastAsia="方正楷体简体" w:cs="Times New Roman"/>
          <w:sz w:val="32"/>
          <w:szCs w:val="32"/>
          <w:highlight w:val="none"/>
        </w:rPr>
        <w:t>雍六高速至金江公路段</w:t>
      </w:r>
      <w:r>
        <w:rPr>
          <w:rFonts w:ascii="Times New Roman" w:hAnsi="Times New Roman" w:eastAsia="方正仿宋简体" w:cs="Times New Roman"/>
          <w:sz w:val="32"/>
          <w:szCs w:val="32"/>
          <w:highlight w:val="none"/>
        </w:rPr>
        <w:t>）建成通车；学东路、教育西路完成前期工作；实施安防工程21.6公里；新建中压、低压管网14</w:t>
      </w:r>
      <w:r>
        <w:rPr>
          <w:rFonts w:hint="eastAsia"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32"/>
          <w:highlight w:val="none"/>
          <w:lang w:val="en-US" w:eastAsia="zh-CN"/>
        </w:rPr>
        <w:t>4</w:t>
      </w:r>
      <w:r>
        <w:rPr>
          <w:rFonts w:ascii="Times New Roman" w:hAnsi="Times New Roman" w:eastAsia="方正仿宋简体" w:cs="Times New Roman"/>
          <w:sz w:val="32"/>
          <w:szCs w:val="32"/>
          <w:highlight w:val="none"/>
        </w:rPr>
        <w:t>公里、区域调压柜5座；完成金牛湖灌区续建配套与节水改造国债项目，实施</w:t>
      </w:r>
      <w:r>
        <w:rPr>
          <w:rFonts w:hint="eastAsia" w:ascii="Times New Roman" w:hAnsi="Times New Roman" w:eastAsia="方正仿宋简体" w:cs="Times New Roman"/>
          <w:sz w:val="32"/>
          <w:szCs w:val="32"/>
          <w:highlight w:val="none"/>
        </w:rPr>
        <w:t>国家重点工程东方红小流域综合治理及</w:t>
      </w:r>
      <w:r>
        <w:rPr>
          <w:rFonts w:ascii="Times New Roman" w:hAnsi="Times New Roman" w:eastAsia="方正仿宋简体" w:cs="Times New Roman"/>
          <w:sz w:val="32"/>
          <w:szCs w:val="32"/>
          <w:highlight w:val="none"/>
        </w:rPr>
        <w:t>3条翻水线更新改造工程；有序推进骁灵片区、极乐片区基础设施建设；</w:t>
      </w:r>
      <w:r>
        <w:rPr>
          <w:rFonts w:hint="eastAsia" w:ascii="Times New Roman" w:hAnsi="Times New Roman" w:eastAsia="方正仿宋简体" w:cs="Times New Roman"/>
          <w:sz w:val="32"/>
          <w:szCs w:val="32"/>
          <w:highlight w:val="none"/>
        </w:rPr>
        <w:t>渔樵路、通州路（</w:t>
      </w:r>
      <w:r>
        <w:rPr>
          <w:rFonts w:hint="eastAsia" w:ascii="Times New Roman" w:hAnsi="Times New Roman" w:eastAsia="方正楷体简体" w:cs="Times New Roman"/>
          <w:sz w:val="32"/>
          <w:szCs w:val="32"/>
          <w:highlight w:val="none"/>
        </w:rPr>
        <w:t>龙袍大</w:t>
      </w:r>
      <w:r>
        <w:rPr>
          <w:rFonts w:ascii="Times New Roman" w:hAnsi="Times New Roman" w:eastAsia="方正楷体简体" w:cs="Times New Roman"/>
          <w:sz w:val="32"/>
          <w:szCs w:val="32"/>
          <w:highlight w:val="none"/>
        </w:rPr>
        <w:t>道—通</w:t>
      </w:r>
      <w:r>
        <w:rPr>
          <w:rFonts w:hint="eastAsia" w:ascii="Times New Roman" w:hAnsi="Times New Roman" w:eastAsia="方正楷体简体" w:cs="Times New Roman"/>
          <w:sz w:val="32"/>
          <w:szCs w:val="32"/>
          <w:highlight w:val="none"/>
        </w:rPr>
        <w:t>玉路段</w:t>
      </w:r>
      <w:r>
        <w:rPr>
          <w:rFonts w:hint="eastAsia" w:ascii="Times New Roman" w:hAnsi="Times New Roman" w:eastAsia="方正仿宋简体" w:cs="Times New Roman"/>
          <w:sz w:val="32"/>
          <w:szCs w:val="32"/>
          <w:highlight w:val="none"/>
        </w:rPr>
        <w:t>）进入收尾阶段；</w:t>
      </w:r>
      <w:r>
        <w:rPr>
          <w:rFonts w:ascii="Times New Roman" w:hAnsi="Times New Roman" w:eastAsia="方正仿宋简体" w:cs="Times New Roman"/>
          <w:sz w:val="32"/>
          <w:szCs w:val="32"/>
          <w:highlight w:val="none"/>
        </w:rPr>
        <w:t>虎跃路、园区二路、规六路等加速建设。</w:t>
      </w:r>
      <w:r>
        <w:rPr>
          <w:rFonts w:ascii="Times New Roman" w:hAnsi="Times New Roman" w:eastAsia="方正仿宋简体" w:cs="Times New Roman"/>
          <w:b/>
          <w:bCs/>
          <w:sz w:val="32"/>
          <w:szCs w:val="32"/>
          <w:highlight w:val="none"/>
        </w:rPr>
        <w:t>城乡管理提质增效。</w:t>
      </w:r>
      <w:r>
        <w:rPr>
          <w:rFonts w:ascii="Times New Roman" w:hAnsi="Times New Roman" w:eastAsia="方正仿宋简体" w:cs="Times New Roman"/>
          <w:sz w:val="32"/>
          <w:szCs w:val="40"/>
          <w:highlight w:val="none"/>
        </w:rPr>
        <w:t>17个市级城建项目完成投资4.64亿元，超额完成市定目标；</w:t>
      </w:r>
      <w:r>
        <w:rPr>
          <w:rFonts w:ascii="Times New Roman" w:hAnsi="Times New Roman" w:eastAsia="方正仿宋简体" w:cs="Times New Roman"/>
          <w:kern w:val="0"/>
          <w:sz w:val="31"/>
          <w:szCs w:val="31"/>
          <w:highlight w:val="none"/>
          <w:lang w:bidi="ar"/>
        </w:rPr>
        <w:t>针织厂B地块保障房进入内外装饰施工阶段；</w:t>
      </w:r>
      <w:r>
        <w:rPr>
          <w:rFonts w:ascii="Times New Roman" w:hAnsi="Times New Roman" w:eastAsia="方正仿宋简体" w:cs="Times New Roman"/>
          <w:sz w:val="32"/>
          <w:szCs w:val="32"/>
          <w:highlight w:val="none"/>
        </w:rPr>
        <w:t>5条背街小巷整治提升工程</w:t>
      </w:r>
      <w:r>
        <w:rPr>
          <w:rFonts w:ascii="Times New Roman" w:hAnsi="Times New Roman" w:eastAsia="方正仿宋简体" w:cs="Times New Roman"/>
          <w:kern w:val="0"/>
          <w:sz w:val="31"/>
          <w:szCs w:val="31"/>
          <w:highlight w:val="none"/>
          <w:lang w:bidi="ar"/>
        </w:rPr>
        <w:t>加速</w:t>
      </w:r>
      <w:r>
        <w:rPr>
          <w:rFonts w:ascii="Times New Roman" w:hAnsi="Times New Roman" w:eastAsia="方正仿宋简体" w:cs="Times New Roman"/>
          <w:sz w:val="32"/>
          <w:szCs w:val="32"/>
          <w:highlight w:val="none"/>
        </w:rPr>
        <w:t>推进；新增停车泊位396个；优化全区供水布局，S501供水管道迁改工程总体形象进度达75%，改造完成主城区老旧供水管网4.5公里；19个省市级宜居宜业和美乡村</w:t>
      </w:r>
      <w:r>
        <w:rPr>
          <w:rFonts w:hint="eastAsia" w:ascii="Times New Roman" w:hAnsi="Times New Roman" w:eastAsia="方正仿宋简体" w:cs="Times New Roman"/>
          <w:sz w:val="32"/>
          <w:szCs w:val="32"/>
          <w:highlight w:val="none"/>
        </w:rPr>
        <w:t>、</w:t>
      </w:r>
      <w:r>
        <w:rPr>
          <w:rFonts w:ascii="Times New Roman" w:hAnsi="Times New Roman" w:eastAsia="方正仿宋简体" w:cs="Times New Roman"/>
          <w:sz w:val="32"/>
          <w:szCs w:val="32"/>
          <w:highlight w:val="none"/>
        </w:rPr>
        <w:t>40个市级美丽乡村宜居村有序建设；</w:t>
      </w:r>
      <w:r>
        <w:rPr>
          <w:rFonts w:hint="eastAsia" w:ascii="Times New Roman" w:hAnsi="Times New Roman" w:eastAsia="方正仿宋简体" w:cs="Times New Roman"/>
          <w:sz w:val="32"/>
          <w:szCs w:val="32"/>
          <w:highlight w:val="none"/>
          <w:lang w:val="en-US" w:eastAsia="zh-CN"/>
        </w:rPr>
        <w:t>完成</w:t>
      </w:r>
      <w:r>
        <w:rPr>
          <w:rFonts w:hint="eastAsia" w:ascii="Times New Roman" w:hAnsi="Times New Roman" w:eastAsia="方正仿宋简体" w:cs="Times New Roman"/>
          <w:sz w:val="32"/>
          <w:szCs w:val="32"/>
          <w:highlight w:val="none"/>
        </w:rPr>
        <w:t>低收入群体危房改造</w:t>
      </w:r>
      <w:r>
        <w:rPr>
          <w:rFonts w:hint="eastAsia" w:ascii="Times New Roman" w:hAnsi="Times New Roman" w:eastAsia="方正仿宋简体" w:cs="Times New Roman"/>
          <w:sz w:val="32"/>
          <w:szCs w:val="32"/>
          <w:highlight w:val="none"/>
          <w:lang w:val="en-US" w:eastAsia="zh-CN"/>
        </w:rPr>
        <w:t>50</w:t>
      </w:r>
      <w:r>
        <w:rPr>
          <w:rFonts w:hint="eastAsia" w:ascii="Times New Roman" w:hAnsi="Times New Roman" w:eastAsia="方正仿宋简体" w:cs="Times New Roman"/>
          <w:sz w:val="32"/>
          <w:szCs w:val="32"/>
          <w:highlight w:val="none"/>
        </w:rPr>
        <w:t>户</w:t>
      </w:r>
      <w:r>
        <w:rPr>
          <w:rFonts w:ascii="Times New Roman" w:hAnsi="Times New Roman" w:eastAsia="方正仿宋简体" w:cs="Times New Roman"/>
          <w:sz w:val="32"/>
          <w:szCs w:val="32"/>
          <w:highlight w:val="none"/>
        </w:rPr>
        <w:t>；新增绿地18公顷，建成区绿地率达41%，建成区46%以上面积达到海绵城市建设要求。</w:t>
      </w:r>
    </w:p>
    <w:p w14:paraId="4F8E45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b/>
          <w:bCs/>
          <w:sz w:val="32"/>
          <w:szCs w:val="32"/>
          <w:highlight w:val="none"/>
        </w:rPr>
      </w:pPr>
      <w:r>
        <w:rPr>
          <w:rFonts w:ascii="Times New Roman" w:hAnsi="Times New Roman" w:eastAsia="方正楷体简体" w:cs="Times New Roman"/>
          <w:b/>
          <w:bCs/>
          <w:sz w:val="32"/>
          <w:szCs w:val="32"/>
          <w:highlight w:val="none"/>
        </w:rPr>
        <w:t>4.生态治理精准发力，绿色效能不断释放。</w:t>
      </w:r>
      <w:r>
        <w:rPr>
          <w:rFonts w:ascii="Times New Roman" w:hAnsi="Times New Roman" w:eastAsia="方正仿宋简体" w:cs="Times New Roman"/>
          <w:b/>
          <w:bCs/>
          <w:sz w:val="32"/>
          <w:szCs w:val="32"/>
          <w:highlight w:val="none"/>
        </w:rPr>
        <w:t>环境治理成效明显。</w:t>
      </w:r>
      <w:r>
        <w:rPr>
          <w:rFonts w:ascii="Times New Roman" w:hAnsi="Times New Roman" w:eastAsia="方正仿宋简体" w:cs="Times New Roman"/>
          <w:sz w:val="32"/>
          <w:szCs w:val="32"/>
          <w:highlight w:val="none"/>
        </w:rPr>
        <w:t>深入打好污染防治攻坚战，</w:t>
      </w:r>
      <w:r>
        <w:rPr>
          <w:rFonts w:ascii="Times New Roman" w:hAnsi="Times New Roman" w:eastAsia="方正仿宋_GBK" w:cs="Times New Roman"/>
          <w:sz w:val="32"/>
          <w:szCs w:val="32"/>
          <w:highlight w:val="none"/>
        </w:rPr>
        <w:t>完成大气治理工程项目36个；完成86家餐饮油烟规范整治；</w:t>
      </w:r>
      <w:r>
        <w:rPr>
          <w:rFonts w:hint="eastAsia" w:ascii="Times New Roman" w:hAnsi="Times New Roman" w:eastAsia="方正仿宋简体" w:cs="Times New Roman"/>
          <w:sz w:val="32"/>
          <w:szCs w:val="32"/>
          <w:highlight w:val="none"/>
        </w:rPr>
        <w:t>6</w:t>
      </w:r>
      <w:r>
        <w:rPr>
          <w:rFonts w:ascii="Times New Roman" w:hAnsi="Times New Roman" w:eastAsia="方正仿宋简体" w:cs="Times New Roman"/>
          <w:sz w:val="32"/>
          <w:szCs w:val="32"/>
          <w:highlight w:val="none"/>
        </w:rPr>
        <w:t>家企业开展节能承诺登记；</w:t>
      </w:r>
      <w:r>
        <w:rPr>
          <w:rFonts w:ascii="Times New Roman" w:hAnsi="Times New Roman" w:eastAsia="方正仿宋_GBK" w:cs="Times New Roman"/>
          <w:sz w:val="32"/>
          <w:szCs w:val="32"/>
          <w:highlight w:val="none"/>
          <w:lang w:bidi="ar"/>
        </w:rPr>
        <w:t>实</w:t>
      </w:r>
      <w:r>
        <w:rPr>
          <w:rFonts w:ascii="Times New Roman" w:hAnsi="Times New Roman" w:eastAsia="方正仿宋简体" w:cs="Times New Roman"/>
          <w:sz w:val="32"/>
          <w:szCs w:val="32"/>
          <w:highlight w:val="none"/>
        </w:rPr>
        <w:t>施污水处理提质增效333行动，推进提质增效达标区建设；</w:t>
      </w:r>
      <w:r>
        <w:rPr>
          <w:rFonts w:ascii="Times New Roman" w:hAnsi="Times New Roman" w:eastAsia="方正仿宋_GBK" w:cs="Times New Roman"/>
          <w:sz w:val="32"/>
          <w:szCs w:val="32"/>
          <w:highlight w:val="none"/>
        </w:rPr>
        <w:t>完成11家市级以上危废规范化检查企业整改；推进常丰等污染地块巡查及虹光地块修复；</w:t>
      </w:r>
      <w:r>
        <w:rPr>
          <w:rFonts w:ascii="Times New Roman" w:hAnsi="Times New Roman" w:eastAsia="方正仿宋简体" w:cs="Times New Roman"/>
          <w:sz w:val="32"/>
          <w:szCs w:val="32"/>
          <w:highlight w:val="none"/>
        </w:rPr>
        <w:t>建设农村生态河道12.82公里，开展泥桥水库幸福河湖创建；</w:t>
      </w:r>
      <w:r>
        <w:rPr>
          <w:rFonts w:ascii="Times New Roman" w:hAnsi="Times New Roman" w:eastAsia="方正仿宋_GBK" w:cs="Times New Roman"/>
          <w:sz w:val="32"/>
          <w:szCs w:val="32"/>
          <w:highlight w:val="none"/>
        </w:rPr>
        <w:t>省级生态环境基础设施重点工程项目金牛湖“生态岛”</w:t>
      </w:r>
      <w:r>
        <w:rPr>
          <w:rFonts w:hint="eastAsia" w:ascii="Times New Roman" w:hAnsi="Times New Roman" w:eastAsia="方正仿宋_GBK" w:cs="Times New Roman"/>
          <w:sz w:val="32"/>
          <w:szCs w:val="32"/>
          <w:highlight w:val="none"/>
          <w:lang w:val="en-US" w:eastAsia="zh-CN"/>
        </w:rPr>
        <w:t>有序推进</w:t>
      </w:r>
      <w:r>
        <w:rPr>
          <w:rFonts w:ascii="Times New Roman" w:hAnsi="Times New Roman" w:eastAsia="方正仿宋_GBK" w:cs="Times New Roman"/>
          <w:sz w:val="32"/>
          <w:szCs w:val="32"/>
          <w:highlight w:val="none"/>
        </w:rPr>
        <w:t>，完成种质资源保护等3项工程。</w:t>
      </w:r>
      <w:r>
        <w:rPr>
          <w:rFonts w:ascii="Times New Roman" w:hAnsi="Times New Roman" w:eastAsia="方正仿宋简体" w:cs="Times New Roman"/>
          <w:b/>
          <w:bCs/>
          <w:sz w:val="32"/>
          <w:szCs w:val="32"/>
          <w:highlight w:val="none"/>
        </w:rPr>
        <w:t>绿色循环加速发展。</w:t>
      </w:r>
      <w:r>
        <w:rPr>
          <w:rFonts w:ascii="Times New Roman" w:hAnsi="Times New Roman" w:eastAsia="方正仿宋简体" w:cs="Times New Roman"/>
          <w:sz w:val="32"/>
          <w:szCs w:val="32"/>
          <w:highlight w:val="none"/>
        </w:rPr>
        <w:t>加快绿色生产力特色区建设，推进冶山抽水蓄能项目申报“十五五”省重大工程项目；有序推进集中式光伏项目建设，建成渔光互补项目4个，总容量177兆瓦</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龙袍“并网即交易”</w:t>
      </w:r>
      <w:r>
        <w:rPr>
          <w:rFonts w:hint="eastAsia" w:ascii="Times New Roman" w:hAnsi="Times New Roman" w:eastAsia="方正仿宋简体" w:cs="Times New Roman"/>
          <w:sz w:val="32"/>
          <w:szCs w:val="32"/>
          <w:highlight w:val="none"/>
          <w:lang w:val="en-US" w:eastAsia="zh-CN"/>
        </w:rPr>
        <w:t>项目成功运营、为全市首例；</w:t>
      </w:r>
      <w:r>
        <w:rPr>
          <w:rFonts w:ascii="Times New Roman" w:hAnsi="Times New Roman" w:eastAsia="方正仿宋简体" w:cs="Times New Roman"/>
          <w:sz w:val="32"/>
          <w:szCs w:val="32"/>
          <w:highlight w:val="none"/>
        </w:rPr>
        <w:t>生活垃圾无害化处理率保持100%，资源化利用率</w:t>
      </w:r>
      <w:r>
        <w:rPr>
          <w:rFonts w:hint="eastAsia" w:ascii="Times New Roman" w:hAnsi="Times New Roman" w:eastAsia="方正仿宋简体" w:cs="Times New Roman"/>
          <w:sz w:val="32"/>
          <w:szCs w:val="32"/>
          <w:highlight w:val="none"/>
        </w:rPr>
        <w:t>达</w:t>
      </w:r>
      <w:r>
        <w:rPr>
          <w:rFonts w:ascii="Times New Roman" w:hAnsi="Times New Roman" w:eastAsia="方正仿宋简体" w:cs="Times New Roman"/>
          <w:sz w:val="32"/>
          <w:szCs w:val="32"/>
          <w:highlight w:val="none"/>
        </w:rPr>
        <w:t>86.5%；新建绿色建筑57.68万平方米，城镇新建绿色建筑占新建建筑比例100%；实施建筑垃圾资源化利用，生产再生骨料3.25万吨、再生砖443万块。</w:t>
      </w:r>
    </w:p>
    <w:p w14:paraId="1FFFECF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楷体简体" w:cs="Times New Roman"/>
          <w:sz w:val="32"/>
          <w:szCs w:val="32"/>
          <w:highlight w:val="none"/>
        </w:rPr>
      </w:pPr>
      <w:r>
        <w:rPr>
          <w:rFonts w:ascii="Times New Roman" w:hAnsi="Times New Roman" w:eastAsia="方正楷体简体" w:cs="Times New Roman"/>
          <w:b/>
          <w:bCs/>
          <w:sz w:val="32"/>
          <w:szCs w:val="32"/>
          <w:highlight w:val="none"/>
        </w:rPr>
        <w:t>5.民生保障扩面提标，社会治理精细有序。</w:t>
      </w:r>
      <w:r>
        <w:rPr>
          <w:rFonts w:ascii="Times New Roman" w:hAnsi="Times New Roman" w:eastAsia="方正仿宋简体" w:cs="Times New Roman"/>
          <w:b/>
          <w:bCs/>
          <w:sz w:val="32"/>
          <w:szCs w:val="32"/>
          <w:highlight w:val="none"/>
        </w:rPr>
        <w:t>社会保障坚实有力。</w:t>
      </w:r>
      <w:r>
        <w:rPr>
          <w:rFonts w:ascii="Times New Roman" w:hAnsi="Times New Roman" w:eastAsia="方正仿宋简体" w:cs="Times New Roman"/>
          <w:sz w:val="32"/>
          <w:szCs w:val="32"/>
          <w:highlight w:val="none"/>
        </w:rPr>
        <w:t>九大类38项民生实事有序推进，11项提前完成年度目标；全力做好高校毕业生、农民工等重点群体就业</w:t>
      </w:r>
      <w:r>
        <w:rPr>
          <w:rFonts w:hint="default" w:ascii="Times New Roman" w:hAnsi="Times New Roman" w:eastAsia="方正仿宋简体" w:cs="Times New Roman"/>
          <w:sz w:val="32"/>
          <w:szCs w:val="32"/>
          <w:highlight w:val="none"/>
        </w:rPr>
        <w:t>帮扶，举办“春风行动”“宁聚英才”“聚合计划”等主题活动12</w:t>
      </w:r>
      <w:r>
        <w:rPr>
          <w:rFonts w:hint="eastAsia" w:ascii="Times New Roman" w:hAnsi="Times New Roman" w:eastAsia="方正仿宋简体" w:cs="Times New Roman"/>
          <w:sz w:val="32"/>
          <w:szCs w:val="32"/>
          <w:highlight w:val="none"/>
        </w:rPr>
        <w:t>8场次</w:t>
      </w:r>
      <w:r>
        <w:rPr>
          <w:rFonts w:ascii="Times New Roman" w:hAnsi="Times New Roman" w:eastAsia="方正仿宋简体" w:cs="Times New Roman"/>
          <w:sz w:val="32"/>
          <w:szCs w:val="32"/>
          <w:highlight w:val="none"/>
        </w:rPr>
        <w:t>，提供就业岗位</w:t>
      </w:r>
      <w:r>
        <w:rPr>
          <w:rFonts w:hint="eastAsia" w:ascii="Times New Roman" w:hAnsi="Times New Roman" w:eastAsia="方正仿宋简体" w:cs="Times New Roman"/>
          <w:sz w:val="32"/>
          <w:szCs w:val="32"/>
          <w:highlight w:val="none"/>
        </w:rPr>
        <w:t>3</w:t>
      </w:r>
      <w:r>
        <w:rPr>
          <w:rFonts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32"/>
          <w:highlight w:val="none"/>
        </w:rPr>
        <w:t>5</w:t>
      </w:r>
      <w:r>
        <w:rPr>
          <w:rFonts w:ascii="Times New Roman" w:hAnsi="Times New Roman" w:eastAsia="方正仿宋简体" w:cs="Times New Roman"/>
          <w:sz w:val="32"/>
          <w:szCs w:val="32"/>
          <w:highlight w:val="none"/>
        </w:rPr>
        <w:t>万个次；精准实施补助政策，发放社保补贴、高校毕业生住房租赁补贴、职业培训补贴等超4400万元；分层分类做好社会救助，发放城乡低保、特困供养、困境儿童等生活补贴</w:t>
      </w:r>
      <w:r>
        <w:rPr>
          <w:rFonts w:hint="eastAsia" w:ascii="Times New Roman" w:hAnsi="Times New Roman" w:eastAsia="方正仿宋简体" w:cs="Times New Roman"/>
          <w:sz w:val="32"/>
          <w:szCs w:val="32"/>
          <w:highlight w:val="none"/>
        </w:rPr>
        <w:t>约</w:t>
      </w:r>
      <w:r>
        <w:rPr>
          <w:rFonts w:ascii="Times New Roman" w:hAnsi="Times New Roman" w:eastAsia="方正仿宋简体" w:cs="Times New Roman"/>
          <w:sz w:val="32"/>
          <w:szCs w:val="32"/>
          <w:highlight w:val="none"/>
        </w:rPr>
        <w:t>7500万元；完善“15分钟养老服务圈”，推进2个社区嵌入式养老综合体建设；为133户老年人家庭提供适老化改造服务；新增10家社区托育点，社区托育机构覆盖率提高至55%</w:t>
      </w:r>
      <w:r>
        <w:rPr>
          <w:rFonts w:hint="eastAsia" w:ascii="Times New Roman" w:hAnsi="Times New Roman" w:eastAsia="方正仿宋简体" w:cs="Times New Roman"/>
          <w:sz w:val="32"/>
          <w:szCs w:val="32"/>
          <w:highlight w:val="none"/>
        </w:rPr>
        <w:t>；</w:t>
      </w:r>
      <w:r>
        <w:rPr>
          <w:rFonts w:ascii="Times New Roman" w:hAnsi="Times New Roman" w:eastAsia="方正仿宋简体" w:cs="Times New Roman"/>
          <w:sz w:val="32"/>
          <w:szCs w:val="32"/>
          <w:highlight w:val="none"/>
        </w:rPr>
        <w:t>李家岗二期</w:t>
      </w:r>
      <w:r>
        <w:rPr>
          <w:rFonts w:hint="eastAsia" w:ascii="Times New Roman" w:hAnsi="Times New Roman" w:eastAsia="方正仿宋简体" w:cs="Times New Roman"/>
          <w:sz w:val="32"/>
          <w:szCs w:val="32"/>
          <w:highlight w:val="none"/>
        </w:rPr>
        <w:t>安置房开工建设，</w:t>
      </w:r>
      <w:r>
        <w:rPr>
          <w:rFonts w:hint="eastAsia" w:ascii="Times New Roman" w:hAnsi="Times New Roman" w:eastAsia="方正仿宋简体" w:cs="Times New Roman"/>
          <w:sz w:val="32"/>
          <w:szCs w:val="32"/>
          <w:highlight w:val="none"/>
          <w:lang w:val="en-US" w:eastAsia="zh-CN"/>
        </w:rPr>
        <w:t>龙袍新城安置房二期加快建设，</w:t>
      </w:r>
      <w:r>
        <w:rPr>
          <w:rFonts w:ascii="Times New Roman" w:hAnsi="Times New Roman" w:eastAsia="方正仿宋简体" w:cs="Times New Roman"/>
          <w:sz w:val="32"/>
          <w:szCs w:val="32"/>
          <w:highlight w:val="none"/>
        </w:rPr>
        <w:t>姚庄安置房4</w:t>
      </w:r>
      <w:r>
        <w:rPr>
          <w:rFonts w:hint="eastAsia" w:ascii="Times New Roman" w:hAnsi="Times New Roman" w:eastAsia="方正仿宋简体" w:cs="Times New Roman"/>
          <w:sz w:val="32"/>
          <w:szCs w:val="32"/>
          <w:highlight w:val="none"/>
        </w:rPr>
        <w:t>号</w:t>
      </w:r>
      <w:r>
        <w:rPr>
          <w:rFonts w:ascii="Times New Roman" w:hAnsi="Times New Roman" w:eastAsia="方正仿宋简体" w:cs="Times New Roman"/>
          <w:sz w:val="32"/>
          <w:szCs w:val="32"/>
          <w:highlight w:val="none"/>
        </w:rPr>
        <w:t>地</w:t>
      </w:r>
      <w:r>
        <w:rPr>
          <w:rFonts w:hint="eastAsia" w:ascii="Times New Roman" w:hAnsi="Times New Roman" w:eastAsia="方正仿宋简体" w:cs="Times New Roman"/>
          <w:sz w:val="32"/>
          <w:szCs w:val="32"/>
          <w:highlight w:val="none"/>
        </w:rPr>
        <w:t>块</w:t>
      </w:r>
      <w:r>
        <w:rPr>
          <w:rFonts w:ascii="Times New Roman" w:hAnsi="Times New Roman" w:eastAsia="方正仿宋简体" w:cs="Times New Roman"/>
          <w:sz w:val="32"/>
          <w:szCs w:val="32"/>
          <w:highlight w:val="none"/>
        </w:rPr>
        <w:t>完工。</w:t>
      </w:r>
      <w:r>
        <w:rPr>
          <w:rFonts w:ascii="Times New Roman" w:hAnsi="Times New Roman" w:eastAsia="方正仿宋简体" w:cs="Times New Roman"/>
          <w:b/>
          <w:bCs/>
          <w:sz w:val="32"/>
          <w:szCs w:val="32"/>
          <w:highlight w:val="none"/>
        </w:rPr>
        <w:t>公共服务持续完善。</w:t>
      </w:r>
      <w:r>
        <w:rPr>
          <w:rFonts w:hint="default" w:ascii="Times New Roman" w:hAnsi="Times New Roman" w:eastAsia="方正仿宋简体" w:cs="Times New Roman"/>
          <w:sz w:val="32"/>
          <w:szCs w:val="40"/>
          <w:highlight w:val="none"/>
        </w:rPr>
        <w:t>新建成</w:t>
      </w:r>
      <w:r>
        <w:rPr>
          <w:rFonts w:ascii="Times New Roman" w:hAnsi="Times New Roman" w:eastAsia="方正仿宋简体" w:cs="Times New Roman"/>
          <w:sz w:val="32"/>
          <w:szCs w:val="40"/>
          <w:highlight w:val="none"/>
        </w:rPr>
        <w:t>旭光路小学、龙袍1号初中，</w:t>
      </w:r>
      <w:r>
        <w:rPr>
          <w:rFonts w:hint="eastAsia" w:ascii="Times New Roman" w:hAnsi="Times New Roman" w:eastAsia="方正仿宋简体" w:cs="Times New Roman"/>
          <w:sz w:val="32"/>
          <w:szCs w:val="40"/>
          <w:highlight w:val="none"/>
          <w:lang w:val="en-US" w:eastAsia="zh-CN"/>
        </w:rPr>
        <w:t>增加</w:t>
      </w:r>
      <w:r>
        <w:rPr>
          <w:rFonts w:ascii="Times New Roman" w:hAnsi="Times New Roman" w:eastAsia="方正仿宋简体" w:cs="Times New Roman"/>
          <w:sz w:val="32"/>
          <w:szCs w:val="40"/>
          <w:highlight w:val="none"/>
        </w:rPr>
        <w:t>学位</w:t>
      </w:r>
      <w:r>
        <w:rPr>
          <w:rFonts w:hint="eastAsia" w:ascii="Times New Roman" w:hAnsi="Times New Roman" w:eastAsia="方正仿宋简体" w:cs="Times New Roman"/>
          <w:sz w:val="32"/>
          <w:szCs w:val="40"/>
          <w:highlight w:val="none"/>
          <w:lang w:val="en-US" w:eastAsia="zh-CN"/>
        </w:rPr>
        <w:t>25</w:t>
      </w:r>
      <w:r>
        <w:rPr>
          <w:rFonts w:hint="eastAsia" w:ascii="Times New Roman" w:hAnsi="Times New Roman" w:eastAsia="方正仿宋简体" w:cs="Times New Roman"/>
          <w:sz w:val="32"/>
          <w:szCs w:val="40"/>
          <w:highlight w:val="none"/>
        </w:rPr>
        <w:t>20</w:t>
      </w:r>
      <w:r>
        <w:rPr>
          <w:rFonts w:ascii="Times New Roman" w:hAnsi="Times New Roman" w:eastAsia="方正仿宋简体" w:cs="Times New Roman"/>
          <w:sz w:val="32"/>
          <w:szCs w:val="40"/>
          <w:highlight w:val="none"/>
        </w:rPr>
        <w:t>个；更新各类教育教学设备6946台（</w:t>
      </w:r>
      <w:r>
        <w:rPr>
          <w:rFonts w:ascii="Times New Roman" w:hAnsi="Times New Roman" w:eastAsia="方正楷体简体" w:cs="Times New Roman"/>
          <w:sz w:val="32"/>
          <w:szCs w:val="40"/>
          <w:highlight w:val="none"/>
        </w:rPr>
        <w:t>套</w:t>
      </w:r>
      <w:r>
        <w:rPr>
          <w:rFonts w:ascii="Times New Roman" w:hAnsi="Times New Roman" w:eastAsia="方正仿宋简体" w:cs="Times New Roman"/>
          <w:sz w:val="32"/>
          <w:szCs w:val="40"/>
          <w:highlight w:val="none"/>
        </w:rPr>
        <w:t>），提升基本办学条件；</w:t>
      </w:r>
      <w:r>
        <w:rPr>
          <w:rFonts w:ascii="Times New Roman" w:hAnsi="Times New Roman" w:eastAsia="方正仿宋简体" w:cs="Times New Roman"/>
          <w:sz w:val="32"/>
          <w:szCs w:val="32"/>
          <w:highlight w:val="none"/>
        </w:rPr>
        <w:t>区人民医院新建病房楼</w:t>
      </w:r>
      <w:r>
        <w:rPr>
          <w:rFonts w:hint="eastAsia" w:ascii="Times New Roman" w:hAnsi="Times New Roman" w:eastAsia="方正仿宋简体" w:cs="Times New Roman"/>
          <w:sz w:val="32"/>
          <w:szCs w:val="32"/>
          <w:highlight w:val="none"/>
          <w:lang w:val="en-US" w:eastAsia="zh-CN"/>
        </w:rPr>
        <w:t>正式投用</w:t>
      </w:r>
      <w:r>
        <w:rPr>
          <w:rFonts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32"/>
          <w:highlight w:val="none"/>
        </w:rPr>
        <w:t>实名制就医（</w:t>
      </w:r>
      <w:r>
        <w:rPr>
          <w:rFonts w:ascii="Times New Roman" w:hAnsi="Times New Roman" w:eastAsia="方正楷体简体" w:cs="Times New Roman"/>
          <w:sz w:val="32"/>
          <w:szCs w:val="32"/>
          <w:highlight w:val="none"/>
        </w:rPr>
        <w:t>IOT设备刷脸支付</w:t>
      </w:r>
      <w:r>
        <w:rPr>
          <w:rFonts w:hint="eastAsia" w:ascii="Times New Roman" w:hAnsi="Times New Roman" w:eastAsia="方正仿宋简体" w:cs="Times New Roman"/>
          <w:sz w:val="32"/>
          <w:szCs w:val="32"/>
          <w:highlight w:val="none"/>
        </w:rPr>
        <w:t>）、药品追溯码应用全覆盖，</w:t>
      </w:r>
      <w:r>
        <w:rPr>
          <w:rFonts w:ascii="Times New Roman" w:hAnsi="Times New Roman" w:eastAsia="方正仿宋简体" w:cs="Times New Roman"/>
          <w:sz w:val="32"/>
          <w:szCs w:val="32"/>
          <w:highlight w:val="none"/>
        </w:rPr>
        <w:t>医保码结算率</w:t>
      </w:r>
      <w:r>
        <w:rPr>
          <w:rFonts w:hint="eastAsia" w:ascii="Times New Roman" w:hAnsi="Times New Roman" w:eastAsia="方正仿宋简体" w:cs="Times New Roman"/>
          <w:sz w:val="32"/>
          <w:szCs w:val="32"/>
          <w:highlight w:val="none"/>
        </w:rPr>
        <w:t>达</w:t>
      </w:r>
      <w:r>
        <w:rPr>
          <w:rFonts w:ascii="Times New Roman" w:hAnsi="Times New Roman" w:eastAsia="方正仿宋简体" w:cs="Times New Roman"/>
          <w:sz w:val="32"/>
          <w:szCs w:val="32"/>
          <w:highlight w:val="none"/>
        </w:rPr>
        <w:t>49%</w:t>
      </w:r>
      <w:r>
        <w:rPr>
          <w:rFonts w:hint="eastAsia" w:ascii="Times New Roman" w:hAnsi="Times New Roman" w:eastAsia="方正仿宋简体" w:cs="Times New Roman"/>
          <w:sz w:val="32"/>
          <w:szCs w:val="32"/>
          <w:highlight w:val="none"/>
        </w:rPr>
        <w:t>以上</w:t>
      </w:r>
      <w:r>
        <w:rPr>
          <w:rFonts w:ascii="Times New Roman" w:hAnsi="Times New Roman" w:eastAsia="方正仿宋简体" w:cs="Times New Roman"/>
          <w:sz w:val="32"/>
          <w:szCs w:val="32"/>
          <w:highlight w:val="none"/>
        </w:rPr>
        <w:t>；</w:t>
      </w:r>
      <w:r>
        <w:rPr>
          <w:rFonts w:ascii="Times New Roman" w:hAnsi="Times New Roman" w:eastAsia="方正仿宋简体" w:cs="Times New Roman"/>
          <w:sz w:val="32"/>
          <w:szCs w:val="40"/>
          <w:highlight w:val="none"/>
        </w:rPr>
        <w:t>开展各类群众文化活动910余场</w:t>
      </w:r>
      <w:r>
        <w:rPr>
          <w:rFonts w:hint="eastAsia" w:ascii="Times New Roman" w:hAnsi="Times New Roman" w:eastAsia="方正仿宋简体" w:cs="Times New Roman"/>
          <w:sz w:val="32"/>
          <w:szCs w:val="40"/>
          <w:highlight w:val="none"/>
          <w:lang w:eastAsia="zh-CN"/>
        </w:rPr>
        <w:t>；</w:t>
      </w:r>
      <w:r>
        <w:rPr>
          <w:rFonts w:hint="eastAsia" w:ascii="Times New Roman" w:hAnsi="Times New Roman" w:eastAsia="方正仿宋简体" w:cs="Times New Roman"/>
          <w:sz w:val="32"/>
          <w:szCs w:val="40"/>
          <w:highlight w:val="none"/>
          <w:lang w:val="en-US" w:eastAsia="zh-CN"/>
        </w:rPr>
        <w:t>承办2025文化和自然遗产日南京主会场活动；</w:t>
      </w:r>
      <w:r>
        <w:rPr>
          <w:rFonts w:ascii="Times New Roman" w:hAnsi="Times New Roman" w:eastAsia="方正仿宋简体" w:cs="Times New Roman"/>
          <w:sz w:val="32"/>
          <w:szCs w:val="32"/>
          <w:highlight w:val="none"/>
          <w:shd w:val="clear" w:color="auto" w:fill="FFFFFF"/>
        </w:rPr>
        <w:t>打造“棠城‘阅’语，茉莉书香”阅读品牌，开展阅读活动690场</w:t>
      </w:r>
      <w:r>
        <w:rPr>
          <w:rFonts w:hint="default" w:ascii="Times New Roman" w:hAnsi="Times New Roman" w:eastAsia="方正仿宋简体" w:cs="Times New Roman"/>
          <w:sz w:val="32"/>
          <w:szCs w:val="32"/>
          <w:highlight w:val="none"/>
          <w:shd w:val="clear" w:color="auto" w:fill="FFFFFF"/>
        </w:rPr>
        <w:t>；</w:t>
      </w:r>
      <w:r>
        <w:rPr>
          <w:rFonts w:hint="default" w:ascii="Times New Roman" w:hAnsi="Times New Roman" w:eastAsia="方正仿宋简体" w:cs="Times New Roman"/>
          <w:sz w:val="32"/>
          <w:szCs w:val="32"/>
          <w:highlight w:val="none"/>
          <w:shd w:val="clear" w:color="auto" w:fill="FFFFFF"/>
          <w:lang w:val="en-US" w:eastAsia="zh-CN"/>
        </w:rPr>
        <w:t>参加全国“四季村歌”活动，将《茉莉花》带上全国舞台；</w:t>
      </w:r>
      <w:r>
        <w:rPr>
          <w:rFonts w:ascii="Times New Roman" w:hAnsi="Times New Roman" w:eastAsia="方正仿宋_GBK" w:cs="Times New Roman"/>
          <w:sz w:val="32"/>
          <w:szCs w:val="32"/>
          <w:highlight w:val="none"/>
        </w:rPr>
        <w:t>承办2025环南京都市圈自行车赛、江苏定向越野巡回赛等体育赛事；区博物馆内部装修工程进入收尾阶段。</w:t>
      </w:r>
      <w:r>
        <w:rPr>
          <w:rFonts w:ascii="Times New Roman" w:hAnsi="Times New Roman" w:eastAsia="方正仿宋简体" w:cs="Times New Roman"/>
          <w:b/>
          <w:bCs/>
          <w:sz w:val="32"/>
          <w:szCs w:val="32"/>
          <w:highlight w:val="none"/>
        </w:rPr>
        <w:t>社会治理精准高效。</w:t>
      </w:r>
      <w:r>
        <w:rPr>
          <w:rFonts w:ascii="Times New Roman" w:hAnsi="Times New Roman" w:eastAsia="方正仿宋简体" w:cs="Times New Roman"/>
          <w:bCs/>
          <w:sz w:val="32"/>
          <w:szCs w:val="32"/>
          <w:highlight w:val="none"/>
        </w:rPr>
        <w:t>系统推进综治中心规范化建设运行，持续打响“三有三找”工作品牌</w:t>
      </w:r>
      <w:r>
        <w:rPr>
          <w:rFonts w:ascii="Times New Roman" w:hAnsi="Times New Roman" w:eastAsia="方正仿宋简体" w:cs="Times New Roman"/>
          <w:sz w:val="32"/>
          <w:highlight w:val="none"/>
        </w:rPr>
        <w:t>；深入实施“精网微格”“做实网格”工程，基层治理基础进一步夯实；构建“5+2+N”信访矛盾化解机制，信访事项一次性化解率达96.67%，工作质效、群众满意度进一步提升；扎实推进监督抽检工作，完成食用农产品抽检242批次；创新建立“监管快检+区域快检+市场快检”机制，完成快检12.78万批次；开展校园食品安全专项整治，完成114所学校全覆盖检查；</w:t>
      </w:r>
      <w:r>
        <w:rPr>
          <w:rFonts w:ascii="Times New Roman" w:hAnsi="Times New Roman" w:eastAsia="方正仿宋简体" w:cs="Times New Roman"/>
          <w:sz w:val="32"/>
          <w:szCs w:val="32"/>
          <w:highlight w:val="none"/>
        </w:rPr>
        <w:t>开展大面积停电事件综合应急演练、防汛抗旱抢险实战演练</w:t>
      </w:r>
      <w:r>
        <w:rPr>
          <w:rFonts w:ascii="Times New Roman" w:hAnsi="Times New Roman" w:eastAsia="方正仿宋简体" w:cs="Times New Roman"/>
          <w:sz w:val="32"/>
          <w:highlight w:val="none"/>
        </w:rPr>
        <w:t>等</w:t>
      </w:r>
      <w:r>
        <w:rPr>
          <w:rFonts w:ascii="Times New Roman" w:hAnsi="Times New Roman" w:eastAsia="方正仿宋简体" w:cs="Times New Roman"/>
          <w:sz w:val="32"/>
          <w:szCs w:val="32"/>
          <w:highlight w:val="none"/>
        </w:rPr>
        <w:t>，</w:t>
      </w:r>
      <w:r>
        <w:rPr>
          <w:rFonts w:ascii="Times New Roman" w:hAnsi="Times New Roman" w:eastAsia="方正仿宋简体" w:cs="Times New Roman"/>
          <w:kern w:val="0"/>
          <w:sz w:val="32"/>
          <w:szCs w:val="32"/>
          <w:highlight w:val="none"/>
        </w:rPr>
        <w:t>组织企业开展大型逃生演练100余场，</w:t>
      </w:r>
      <w:r>
        <w:rPr>
          <w:rFonts w:ascii="Times New Roman" w:hAnsi="Times New Roman" w:eastAsia="方正仿宋简体" w:cs="Times New Roman"/>
          <w:sz w:val="32"/>
          <w:szCs w:val="32"/>
          <w:highlight w:val="none"/>
        </w:rPr>
        <w:t>不断提高应急处置能力，深化应急管理—消防一体化工作机制，集中力量整治突出隐患791个；守牢安全生产底线，排查整改重大事故隐患67条；完成玖荣府一期、都会风华苑等项目保交房工作；</w:t>
      </w:r>
      <w:r>
        <w:rPr>
          <w:rFonts w:ascii="Times New Roman" w:hAnsi="Times New Roman" w:eastAsia="方正仿宋_GBK" w:cs="Times New Roman"/>
          <w:sz w:val="32"/>
          <w:szCs w:val="32"/>
          <w:highlight w:val="none"/>
        </w:rPr>
        <w:t>违法犯罪警情、刑事警情分别同比下降47.4%、18.5%，降幅均位列全市第一。</w:t>
      </w:r>
    </w:p>
    <w:p w14:paraId="3832AC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highlight w:val="none"/>
        </w:rPr>
      </w:pPr>
      <w:r>
        <w:rPr>
          <w:rFonts w:ascii="Times New Roman" w:hAnsi="Times New Roman" w:eastAsia="方正仿宋简体" w:cs="Times New Roman"/>
          <w:sz w:val="32"/>
          <w:szCs w:val="32"/>
          <w:highlight w:val="none"/>
        </w:rPr>
        <w:t>总体来看，上半年我区经济社会发展持续向好，内生动力不断增强，发展能级稳步提升，高质量发展态势得到进一步巩固。在肯定成绩的同时，也要清醒地看到，</w:t>
      </w:r>
      <w:r>
        <w:rPr>
          <w:rFonts w:hint="eastAsia" w:ascii="Times New Roman" w:hAnsi="Times New Roman" w:eastAsia="方正仿宋简体" w:cs="Times New Roman"/>
          <w:sz w:val="32"/>
          <w:szCs w:val="32"/>
          <w:highlight w:val="none"/>
        </w:rPr>
        <w:t>六合产业结构正在进行调整</w:t>
      </w:r>
      <w:r>
        <w:rPr>
          <w:rFonts w:ascii="Times New Roman" w:hAnsi="Times New Roman" w:eastAsia="方正仿宋简体" w:cs="Times New Roman"/>
          <w:sz w:val="32"/>
          <w:szCs w:val="32"/>
          <w:highlight w:val="none"/>
        </w:rPr>
        <w:t>，产业特色化、规模化水平还有待提升，开发园区转型升级还需强化，基础设施</w:t>
      </w:r>
      <w:r>
        <w:rPr>
          <w:rFonts w:hint="eastAsia" w:ascii="Times New Roman" w:hAnsi="Times New Roman" w:eastAsia="方正仿宋简体" w:cs="Times New Roman"/>
          <w:sz w:val="32"/>
          <w:szCs w:val="32"/>
          <w:highlight w:val="none"/>
        </w:rPr>
        <w:t>需进一步补齐短板</w:t>
      </w:r>
      <w:r>
        <w:rPr>
          <w:rFonts w:ascii="Times New Roman" w:hAnsi="Times New Roman" w:eastAsia="方正仿宋简体" w:cs="Times New Roman"/>
          <w:sz w:val="32"/>
          <w:szCs w:val="32"/>
          <w:highlight w:val="none"/>
        </w:rPr>
        <w:t>，群众关心的生态、就业、教育、医疗等问题解决成效与期待尚有距离。针对这些</w:t>
      </w:r>
      <w:r>
        <w:rPr>
          <w:rFonts w:hint="eastAsia" w:ascii="Times New Roman" w:hAnsi="Times New Roman" w:eastAsia="方正仿宋简体" w:cs="Times New Roman"/>
          <w:sz w:val="32"/>
          <w:szCs w:val="32"/>
          <w:highlight w:val="none"/>
        </w:rPr>
        <w:t>问题</w:t>
      </w:r>
      <w:r>
        <w:rPr>
          <w:rFonts w:ascii="Times New Roman" w:hAnsi="Times New Roman" w:eastAsia="方正仿宋简体" w:cs="Times New Roman"/>
          <w:sz w:val="32"/>
          <w:szCs w:val="32"/>
          <w:highlight w:val="none"/>
        </w:rPr>
        <w:t>，我们将</w:t>
      </w:r>
      <w:r>
        <w:rPr>
          <w:rFonts w:hint="eastAsia" w:ascii="Times New Roman" w:hAnsi="Times New Roman" w:eastAsia="方正仿宋简体" w:cs="Times New Roman"/>
          <w:sz w:val="32"/>
          <w:szCs w:val="32"/>
          <w:highlight w:val="none"/>
        </w:rPr>
        <w:t>认真分析，通过</w:t>
      </w:r>
      <w:r>
        <w:rPr>
          <w:rFonts w:ascii="Times New Roman" w:hAnsi="Times New Roman" w:eastAsia="方正仿宋简体" w:cs="Times New Roman"/>
          <w:sz w:val="32"/>
          <w:szCs w:val="32"/>
          <w:highlight w:val="none"/>
        </w:rPr>
        <w:t>务实有效举措逐项攻坚，切实回应群众期盼。</w:t>
      </w:r>
    </w:p>
    <w:p w14:paraId="0B22C6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highlight w:val="none"/>
          <w:shd w:val="clear" w:color="auto" w:fill="FFFFFF"/>
        </w:rPr>
      </w:pPr>
      <w:r>
        <w:rPr>
          <w:rFonts w:ascii="Times New Roman" w:hAnsi="Times New Roman" w:eastAsia="方正黑体简体" w:cs="Times New Roman"/>
          <w:sz w:val="32"/>
          <w:szCs w:val="40"/>
          <w:highlight w:val="none"/>
        </w:rPr>
        <w:t>二、下半年工作打算</w:t>
      </w:r>
    </w:p>
    <w:p w14:paraId="501B0C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highlight w:val="none"/>
          <w:shd w:val="clear" w:color="auto" w:fill="FFFFFF"/>
        </w:rPr>
      </w:pPr>
      <w:r>
        <w:rPr>
          <w:rFonts w:ascii="Times New Roman" w:hAnsi="Times New Roman" w:eastAsia="方正仿宋简体" w:cs="Times New Roman"/>
          <w:sz w:val="32"/>
          <w:szCs w:val="32"/>
          <w:highlight w:val="none"/>
        </w:rPr>
        <w:t>下半年，我们将认真贯彻落实习近平总书记对江苏工作重要讲话精神，</w:t>
      </w:r>
      <w:r>
        <w:rPr>
          <w:rFonts w:ascii="Times New Roman" w:hAnsi="Times New Roman" w:eastAsia="方正仿宋简体" w:cs="Times New Roman"/>
          <w:sz w:val="32"/>
          <w:szCs w:val="32"/>
          <w:highlight w:val="none"/>
          <w:shd w:val="clear" w:color="auto" w:fill="FFFFFF"/>
        </w:rPr>
        <w:t>锚定“两个千亿”奋斗目标，持续推进“2442”整体发展布局，全面融入江北“一体化”发展，加快打造“空铁智造走廊”，扎实推进产业强区、富民强村各项工作，全力打好“十四五”收官战，绘好“十五五”新篇章。</w:t>
      </w:r>
    </w:p>
    <w:p w14:paraId="38AF6FF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kern w:val="0"/>
          <w:sz w:val="32"/>
          <w:szCs w:val="32"/>
          <w:highlight w:val="none"/>
        </w:rPr>
      </w:pPr>
      <w:r>
        <w:rPr>
          <w:rFonts w:ascii="Times New Roman" w:hAnsi="Times New Roman" w:eastAsia="方正楷体简体" w:cs="Times New Roman"/>
          <w:b/>
          <w:bCs/>
          <w:sz w:val="32"/>
          <w:szCs w:val="32"/>
          <w:highlight w:val="none"/>
          <w:shd w:val="clear" w:color="auto" w:fill="FFFFFF"/>
        </w:rPr>
        <w:t>一是锚定目标任务，推动经济发展提质增量</w:t>
      </w:r>
      <w:r>
        <w:rPr>
          <w:rFonts w:ascii="Times New Roman" w:hAnsi="Times New Roman" w:eastAsia="方正楷体简体" w:cs="Times New Roman"/>
          <w:sz w:val="32"/>
          <w:szCs w:val="32"/>
          <w:highlight w:val="none"/>
          <w:shd w:val="clear" w:color="auto" w:fill="FFFFFF"/>
        </w:rPr>
        <w:t>。</w:t>
      </w:r>
      <w:r>
        <w:rPr>
          <w:rFonts w:ascii="Times New Roman" w:hAnsi="Times New Roman" w:eastAsia="方正仿宋简体" w:cs="Times New Roman"/>
          <w:sz w:val="32"/>
          <w:szCs w:val="32"/>
          <w:highlight w:val="none"/>
          <w:shd w:val="clear" w:color="auto" w:fill="FFFFFF"/>
        </w:rPr>
        <w:t>深入</w:t>
      </w:r>
      <w:r>
        <w:rPr>
          <w:rFonts w:hint="eastAsia" w:ascii="Times New Roman" w:hAnsi="Times New Roman" w:eastAsia="方正仿宋简体" w:cs="Times New Roman"/>
          <w:sz w:val="32"/>
          <w:szCs w:val="32"/>
          <w:highlight w:val="none"/>
          <w:shd w:val="clear" w:color="auto" w:fill="FFFFFF"/>
        </w:rPr>
        <w:t>实施</w:t>
      </w:r>
      <w:r>
        <w:rPr>
          <w:rFonts w:ascii="Times New Roman" w:hAnsi="Times New Roman" w:eastAsia="方正仿宋简体" w:cs="Times New Roman"/>
          <w:sz w:val="32"/>
          <w:szCs w:val="32"/>
          <w:highlight w:val="none"/>
          <w:shd w:val="clear" w:color="auto" w:fill="FFFFFF"/>
        </w:rPr>
        <w:t>经济发展提速增效行动，</w:t>
      </w:r>
      <w:r>
        <w:rPr>
          <w:rFonts w:hint="eastAsia" w:ascii="Times New Roman" w:hAnsi="Times New Roman" w:eastAsia="方正仿宋简体" w:cs="Times New Roman"/>
          <w:sz w:val="32"/>
          <w:szCs w:val="32"/>
          <w:highlight w:val="none"/>
          <w:shd w:val="clear" w:color="auto" w:fill="FFFFFF"/>
        </w:rPr>
        <w:t>参照市里</w:t>
      </w:r>
      <w:r>
        <w:rPr>
          <w:rFonts w:ascii="Times New Roman" w:hAnsi="Times New Roman" w:eastAsia="方正仿宋简体" w:cs="Times New Roman"/>
          <w:sz w:val="32"/>
          <w:szCs w:val="32"/>
          <w:highlight w:val="none"/>
          <w:shd w:val="clear" w:color="auto" w:fill="FFFFFF"/>
        </w:rPr>
        <w:t>落实“周监测、旬分析、月盘点”工作机制</w:t>
      </w:r>
      <w:r>
        <w:rPr>
          <w:rFonts w:hint="eastAsia" w:ascii="Times New Roman" w:hAnsi="Times New Roman" w:eastAsia="方正仿宋简体" w:cs="Times New Roman"/>
          <w:sz w:val="32"/>
          <w:szCs w:val="32"/>
          <w:highlight w:val="none"/>
          <w:shd w:val="clear" w:color="auto" w:fill="FFFFFF"/>
        </w:rPr>
        <w:t>，</w:t>
      </w:r>
      <w:r>
        <w:rPr>
          <w:rFonts w:ascii="Times New Roman" w:hAnsi="Times New Roman" w:eastAsia="方正仿宋简体" w:cs="Times New Roman"/>
          <w:sz w:val="32"/>
          <w:szCs w:val="40"/>
          <w:highlight w:val="none"/>
        </w:rPr>
        <w:t>密切关注薄弱指标以及地区生产总值核算指标，采取切实有效措施，</w:t>
      </w:r>
      <w:r>
        <w:rPr>
          <w:rFonts w:ascii="Times New Roman" w:hAnsi="Times New Roman" w:eastAsia="方正仿宋简体" w:cs="Times New Roman"/>
          <w:sz w:val="32"/>
          <w:szCs w:val="32"/>
          <w:highlight w:val="none"/>
        </w:rPr>
        <w:t>确保高质量完成全年计划目标。</w:t>
      </w:r>
      <w:r>
        <w:rPr>
          <w:rFonts w:ascii="Times New Roman" w:hAnsi="Times New Roman" w:eastAsia="方正仿宋简体" w:cs="Times New Roman"/>
          <w:sz w:val="32"/>
          <w:szCs w:val="40"/>
          <w:highlight w:val="none"/>
        </w:rPr>
        <w:t>加强重点企业服务对接，跟踪企业生产经营状况，</w:t>
      </w:r>
      <w:r>
        <w:rPr>
          <w:rFonts w:ascii="Times New Roman" w:hAnsi="Times New Roman" w:eastAsia="方正仿宋简体" w:cs="Times New Roman"/>
          <w:sz w:val="32"/>
          <w:szCs w:val="32"/>
          <w:highlight w:val="none"/>
        </w:rPr>
        <w:t>帮助企业保订单、降成</w:t>
      </w:r>
      <w:r>
        <w:rPr>
          <w:rFonts w:ascii="Times New Roman" w:hAnsi="Times New Roman" w:eastAsia="方正仿宋简体" w:cs="Times New Roman"/>
          <w:sz w:val="32"/>
          <w:szCs w:val="32"/>
          <w:highlight w:val="none"/>
          <w:shd w:val="clear" w:color="auto" w:fill="FFFFFF"/>
        </w:rPr>
        <w:t>本、促转型。紧盯产业转型、科技创新、基础设施、社会民生等热点领域，紧盯</w:t>
      </w:r>
      <w:r>
        <w:rPr>
          <w:rFonts w:hint="eastAsia" w:ascii="Times New Roman" w:hAnsi="Times New Roman" w:eastAsia="方正仿宋简体" w:cs="Times New Roman"/>
          <w:sz w:val="32"/>
          <w:szCs w:val="32"/>
          <w:highlight w:val="none"/>
          <w:shd w:val="clear" w:color="auto" w:fill="FFFFFF"/>
        </w:rPr>
        <w:t>高质量发展短板</w:t>
      </w:r>
      <w:r>
        <w:rPr>
          <w:rFonts w:ascii="Times New Roman" w:hAnsi="Times New Roman" w:eastAsia="方正仿宋简体" w:cs="Times New Roman"/>
          <w:sz w:val="32"/>
          <w:szCs w:val="32"/>
          <w:highlight w:val="none"/>
          <w:shd w:val="clear" w:color="auto" w:fill="FFFFFF"/>
        </w:rPr>
        <w:t>，</w:t>
      </w:r>
      <w:r>
        <w:rPr>
          <w:rFonts w:hint="eastAsia" w:ascii="Times New Roman" w:hAnsi="Times New Roman" w:eastAsia="方正仿宋简体" w:cs="Times New Roman"/>
          <w:kern w:val="0"/>
          <w:sz w:val="32"/>
          <w:szCs w:val="32"/>
          <w:highlight w:val="none"/>
        </w:rPr>
        <w:t>对标2024年综合考核结果，</w:t>
      </w:r>
      <w:r>
        <w:rPr>
          <w:rFonts w:ascii="Times New Roman" w:hAnsi="Times New Roman" w:eastAsia="方正仿宋简体" w:cs="Times New Roman"/>
          <w:kern w:val="0"/>
          <w:sz w:val="32"/>
          <w:szCs w:val="32"/>
          <w:highlight w:val="none"/>
        </w:rPr>
        <w:t>全力提升发展速度、赶上任务进度，</w:t>
      </w:r>
      <w:r>
        <w:rPr>
          <w:rFonts w:ascii="Times New Roman" w:hAnsi="Times New Roman" w:eastAsia="方正仿宋简体" w:cs="Times New Roman"/>
          <w:sz w:val="32"/>
          <w:szCs w:val="32"/>
          <w:highlight w:val="none"/>
        </w:rPr>
        <w:t>确保全年取得最好成绩</w:t>
      </w:r>
      <w:r>
        <w:rPr>
          <w:rFonts w:ascii="Times New Roman" w:hAnsi="Times New Roman" w:eastAsia="方正仿宋简体" w:cs="Times New Roman"/>
          <w:sz w:val="32"/>
          <w:szCs w:val="32"/>
          <w:highlight w:val="none"/>
          <w:shd w:val="clear" w:color="auto" w:fill="FFFFFF"/>
        </w:rPr>
        <w:t>。</w:t>
      </w:r>
    </w:p>
    <w:p w14:paraId="3D6751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sz w:val="32"/>
          <w:szCs w:val="32"/>
          <w:highlight w:val="none"/>
        </w:rPr>
      </w:pPr>
      <w:r>
        <w:rPr>
          <w:rFonts w:ascii="Times New Roman" w:hAnsi="Times New Roman" w:eastAsia="方正楷体简体" w:cs="Times New Roman"/>
          <w:b/>
          <w:bCs/>
          <w:sz w:val="32"/>
          <w:szCs w:val="32"/>
          <w:highlight w:val="none"/>
        </w:rPr>
        <w:t>二是</w:t>
      </w:r>
      <w:r>
        <w:rPr>
          <w:rFonts w:hint="eastAsia" w:ascii="Times New Roman" w:hAnsi="Times New Roman" w:eastAsia="方正楷体简体" w:cs="Times New Roman"/>
          <w:b/>
          <w:bCs/>
          <w:sz w:val="32"/>
          <w:szCs w:val="32"/>
          <w:highlight w:val="none"/>
        </w:rPr>
        <w:t>加速科产融合</w:t>
      </w:r>
      <w:r>
        <w:rPr>
          <w:rFonts w:ascii="Times New Roman" w:hAnsi="Times New Roman" w:eastAsia="方正楷体简体" w:cs="Times New Roman"/>
          <w:b/>
          <w:bCs/>
          <w:sz w:val="32"/>
          <w:szCs w:val="32"/>
          <w:highlight w:val="none"/>
        </w:rPr>
        <w:t>，推动</w:t>
      </w:r>
      <w:r>
        <w:rPr>
          <w:rFonts w:hint="eastAsia" w:ascii="Times New Roman" w:hAnsi="Times New Roman" w:eastAsia="方正楷体简体" w:cs="Times New Roman"/>
          <w:b/>
          <w:bCs/>
          <w:sz w:val="32"/>
          <w:szCs w:val="32"/>
          <w:highlight w:val="none"/>
        </w:rPr>
        <w:t>新质生产力蓬勃发展</w:t>
      </w:r>
      <w:r>
        <w:rPr>
          <w:rFonts w:ascii="Times New Roman" w:hAnsi="Times New Roman" w:eastAsia="方正楷体简体" w:cs="Times New Roman"/>
          <w:sz w:val="32"/>
          <w:szCs w:val="32"/>
          <w:highlight w:val="none"/>
        </w:rPr>
        <w:t>。</w:t>
      </w:r>
      <w:r>
        <w:rPr>
          <w:rFonts w:hint="eastAsia" w:ascii="Times New Roman" w:hAnsi="Times New Roman" w:eastAsia="方正仿宋简体" w:cs="Times New Roman"/>
          <w:sz w:val="32"/>
          <w:szCs w:val="32"/>
          <w:highlight w:val="none"/>
        </w:rPr>
        <w:t>抢抓仙新路过江通道通车契机，</w:t>
      </w:r>
      <w:r>
        <w:rPr>
          <w:rFonts w:ascii="Times New Roman" w:hAnsi="Times New Roman" w:eastAsia="方正仿宋简体" w:cs="Times New Roman"/>
          <w:sz w:val="32"/>
          <w:szCs w:val="32"/>
          <w:highlight w:val="none"/>
        </w:rPr>
        <w:t>以</w:t>
      </w:r>
      <w:r>
        <w:rPr>
          <w:rFonts w:hint="eastAsia" w:ascii="Times New Roman" w:hAnsi="Times New Roman" w:eastAsia="方正仿宋简体" w:cs="Times New Roman"/>
          <w:sz w:val="32"/>
          <w:szCs w:val="32"/>
          <w:highlight w:val="none"/>
        </w:rPr>
        <w:t>六合</w:t>
      </w:r>
      <w:r>
        <w:rPr>
          <w:rFonts w:ascii="Times New Roman" w:hAnsi="Times New Roman" w:eastAsia="方正仿宋简体" w:cs="Times New Roman"/>
          <w:sz w:val="32"/>
          <w:szCs w:val="32"/>
          <w:highlight w:val="none"/>
        </w:rPr>
        <w:t>产业科技创新港与“501科创产业带”建设为抓手，加快各类创新平台载体布局。强化创新港“黏合效应”，加速南航、南师大、</w:t>
      </w:r>
      <w:r>
        <w:rPr>
          <w:rFonts w:hint="eastAsia" w:ascii="Times New Roman" w:hAnsi="Times New Roman" w:eastAsia="方正仿宋简体" w:cs="Times New Roman"/>
          <w:sz w:val="32"/>
          <w:szCs w:val="32"/>
          <w:highlight w:val="none"/>
        </w:rPr>
        <w:t>南工职大、</w:t>
      </w:r>
      <w:r>
        <w:rPr>
          <w:rFonts w:ascii="Times New Roman" w:hAnsi="Times New Roman" w:eastAsia="方正仿宋简体" w:cs="Times New Roman"/>
          <w:sz w:val="32"/>
          <w:szCs w:val="32"/>
          <w:highlight w:val="none"/>
        </w:rPr>
        <w:t>郑大等合作高校的人才团队引进和创新成果集聚，推动已签约的直升机动力学、装备再制造技术全国重点实验室等创新平台落地，</w:t>
      </w:r>
      <w:r>
        <w:rPr>
          <w:rFonts w:hint="default" w:ascii="Times New Roman" w:hAnsi="Times New Roman" w:eastAsia="方正仿宋简体" w:cs="Times New Roman"/>
          <w:sz w:val="32"/>
          <w:szCs w:val="32"/>
          <w:highlight w:val="none"/>
        </w:rPr>
        <w:t>全力支持省先进复合材料技术与装备创新中心争创国家制造业创新中心，不断提升科技创新策源力、区域核心竞争力</w:t>
      </w:r>
      <w:r>
        <w:rPr>
          <w:rFonts w:ascii="Times New Roman" w:hAnsi="Times New Roman" w:eastAsia="方正仿宋简体" w:cs="Times New Roman"/>
          <w:sz w:val="32"/>
          <w:szCs w:val="32"/>
          <w:highlight w:val="none"/>
        </w:rPr>
        <w:t>。深入实施“智改数转网联”三年行动计划，分行业</w:t>
      </w:r>
      <w:r>
        <w:rPr>
          <w:rFonts w:hint="eastAsia" w:ascii="Times New Roman" w:hAnsi="Times New Roman" w:eastAsia="方正仿宋简体" w:cs="Times New Roman"/>
          <w:sz w:val="32"/>
          <w:szCs w:val="32"/>
          <w:highlight w:val="none"/>
        </w:rPr>
        <w:t>开展</w:t>
      </w:r>
      <w:r>
        <w:rPr>
          <w:rFonts w:ascii="Times New Roman" w:hAnsi="Times New Roman" w:eastAsia="方正仿宋简体" w:cs="Times New Roman"/>
          <w:sz w:val="32"/>
          <w:szCs w:val="32"/>
          <w:highlight w:val="none"/>
        </w:rPr>
        <w:t>智能化改造，优化中小企业数字化转型服务供给。加快培育壮大创新主体，构建科技企业孵化育成体系和“小升高”“高升规”递进式培育链条，培育一批具有市场竞争力的创新型领军企业，力争全年高新技术企业</w:t>
      </w:r>
      <w:r>
        <w:rPr>
          <w:rFonts w:hint="eastAsia" w:ascii="Times New Roman" w:hAnsi="Times New Roman" w:eastAsia="方正仿宋简体" w:cs="Times New Roman"/>
          <w:sz w:val="32"/>
          <w:szCs w:val="32"/>
          <w:highlight w:val="none"/>
        </w:rPr>
        <w:t>突破450家</w:t>
      </w:r>
      <w:r>
        <w:rPr>
          <w:rFonts w:ascii="Times New Roman" w:hAnsi="Times New Roman" w:eastAsia="方正仿宋简体" w:cs="Times New Roman"/>
          <w:sz w:val="32"/>
          <w:szCs w:val="32"/>
          <w:highlight w:val="none"/>
        </w:rPr>
        <w:t>、科技型中小企业超1200家</w:t>
      </w:r>
      <w:r>
        <w:rPr>
          <w:rFonts w:hint="eastAsia" w:ascii="Times New Roman" w:hAnsi="Times New Roman" w:eastAsia="方正仿宋简体" w:cs="Times New Roman"/>
          <w:sz w:val="32"/>
          <w:szCs w:val="32"/>
          <w:highlight w:val="none"/>
        </w:rPr>
        <w:t>。</w:t>
      </w:r>
    </w:p>
    <w:p w14:paraId="3FAD09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sz w:val="32"/>
          <w:szCs w:val="32"/>
          <w:highlight w:val="none"/>
        </w:rPr>
      </w:pPr>
      <w:r>
        <w:rPr>
          <w:rFonts w:ascii="Times New Roman" w:hAnsi="Times New Roman" w:eastAsia="方正楷体简体" w:cs="Times New Roman"/>
          <w:b/>
          <w:bCs/>
          <w:sz w:val="32"/>
          <w:szCs w:val="32"/>
          <w:highlight w:val="none"/>
        </w:rPr>
        <w:t>三是</w:t>
      </w:r>
      <w:r>
        <w:rPr>
          <w:rFonts w:hint="eastAsia" w:ascii="Times New Roman" w:hAnsi="Times New Roman" w:eastAsia="方正楷体简体" w:cs="Times New Roman"/>
          <w:b/>
          <w:bCs/>
          <w:sz w:val="32"/>
          <w:szCs w:val="32"/>
          <w:highlight w:val="none"/>
        </w:rPr>
        <w:t>激发内需活力</w:t>
      </w:r>
      <w:r>
        <w:rPr>
          <w:rFonts w:ascii="Times New Roman" w:hAnsi="Times New Roman" w:eastAsia="方正楷体简体" w:cs="Times New Roman"/>
          <w:b/>
          <w:bCs/>
          <w:sz w:val="32"/>
          <w:szCs w:val="32"/>
          <w:highlight w:val="none"/>
        </w:rPr>
        <w:t>，推动投资消费齐头并进</w:t>
      </w:r>
      <w:r>
        <w:rPr>
          <w:rFonts w:ascii="Times New Roman" w:hAnsi="Times New Roman" w:eastAsia="方正楷体简体" w:cs="Times New Roman"/>
          <w:sz w:val="32"/>
          <w:szCs w:val="32"/>
          <w:highlight w:val="none"/>
        </w:rPr>
        <w:t>。</w:t>
      </w:r>
      <w:r>
        <w:rPr>
          <w:rFonts w:ascii="Times New Roman" w:hAnsi="Times New Roman" w:eastAsia="方正仿宋简体" w:cs="Times New Roman"/>
          <w:sz w:val="32"/>
          <w:szCs w:val="32"/>
          <w:highlight w:val="none"/>
        </w:rPr>
        <w:t>以“产业强区”建设为核心支撑，</w:t>
      </w:r>
      <w:r>
        <w:rPr>
          <w:rFonts w:hint="default" w:ascii="Times New Roman" w:hAnsi="Times New Roman" w:eastAsia="方正仿宋简体" w:cs="Times New Roman"/>
          <w:sz w:val="32"/>
          <w:szCs w:val="32"/>
          <w:highlight w:val="none"/>
        </w:rPr>
        <w:t>深化招商体制建设，持续构建“部门横向联动、条块纵向互动”工作格局，全力洽谈和储备一批优质产业项目</w:t>
      </w:r>
      <w:r>
        <w:rPr>
          <w:rFonts w:hint="eastAsia" w:ascii="Times New Roman" w:hAnsi="Times New Roman" w:eastAsia="方正仿宋简体" w:cs="Times New Roman"/>
          <w:sz w:val="32"/>
          <w:szCs w:val="32"/>
          <w:highlight w:val="none"/>
        </w:rPr>
        <w:t>；</w:t>
      </w:r>
      <w:r>
        <w:rPr>
          <w:rFonts w:ascii="Times New Roman" w:hAnsi="Times New Roman" w:eastAsia="方正仿宋简体" w:cs="Times New Roman"/>
          <w:sz w:val="32"/>
          <w:szCs w:val="32"/>
          <w:highlight w:val="none"/>
        </w:rPr>
        <w:t>推动招商引资与项目建设联动联调，着力提升项目招引建设“三个转化率”</w:t>
      </w:r>
      <w:r>
        <w:rPr>
          <w:rFonts w:hint="eastAsia" w:ascii="Times New Roman" w:hAnsi="Times New Roman" w:eastAsia="方正仿宋简体" w:cs="Times New Roman"/>
          <w:sz w:val="32"/>
          <w:szCs w:val="32"/>
          <w:highlight w:val="none"/>
        </w:rPr>
        <w:t>，</w:t>
      </w:r>
      <w:r>
        <w:rPr>
          <w:rFonts w:ascii="Times New Roman" w:hAnsi="Times New Roman" w:eastAsia="方正仿宋简体" w:cs="Times New Roman"/>
          <w:sz w:val="32"/>
          <w:szCs w:val="32"/>
          <w:highlight w:val="none"/>
        </w:rPr>
        <w:t>加快推进国轩20GWh动力电池、浙理氢能生产基地等项目正式签约，推动航空航天制造基地、利德东方研发生产等</w:t>
      </w:r>
      <w:r>
        <w:rPr>
          <w:rFonts w:hint="eastAsia" w:ascii="Times New Roman" w:hAnsi="Times New Roman" w:eastAsia="方正仿宋简体" w:cs="Times New Roman"/>
          <w:sz w:val="32"/>
          <w:szCs w:val="32"/>
          <w:highlight w:val="none"/>
        </w:rPr>
        <w:t>项目</w:t>
      </w:r>
      <w:r>
        <w:rPr>
          <w:rFonts w:hint="eastAsia" w:ascii="Times New Roman" w:hAnsi="Times New Roman" w:eastAsia="方正仿宋简体" w:cs="Times New Roman"/>
          <w:sz w:val="32"/>
          <w:szCs w:val="32"/>
          <w:highlight w:val="none"/>
          <w:lang w:val="en-US" w:eastAsia="zh-CN"/>
        </w:rPr>
        <w:t>加快</w:t>
      </w:r>
      <w:r>
        <w:rPr>
          <w:rFonts w:hint="eastAsia" w:ascii="Times New Roman" w:hAnsi="Times New Roman" w:eastAsia="方正仿宋简体" w:cs="Times New Roman"/>
          <w:sz w:val="32"/>
          <w:szCs w:val="32"/>
          <w:highlight w:val="none"/>
        </w:rPr>
        <w:t>转化</w:t>
      </w:r>
      <w:r>
        <w:rPr>
          <w:rFonts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32"/>
          <w:highlight w:val="none"/>
        </w:rPr>
        <w:t>统筹推进</w:t>
      </w:r>
      <w:r>
        <w:rPr>
          <w:rFonts w:ascii="Times New Roman" w:hAnsi="Times New Roman" w:eastAsia="方正仿宋简体" w:cs="Times New Roman"/>
          <w:sz w:val="32"/>
          <w:szCs w:val="32"/>
          <w:highlight w:val="none"/>
        </w:rPr>
        <w:t>156个区重大项目、160个城建项目和29个市工业“双百项目”</w:t>
      </w:r>
      <w:r>
        <w:rPr>
          <w:rFonts w:hint="eastAsia" w:ascii="Times New Roman" w:hAnsi="Times New Roman" w:eastAsia="方正仿宋简体" w:cs="Times New Roman"/>
          <w:sz w:val="32"/>
          <w:szCs w:val="32"/>
          <w:highlight w:val="none"/>
        </w:rPr>
        <w:t>，加快</w:t>
      </w:r>
      <w:r>
        <w:rPr>
          <w:rFonts w:ascii="Times New Roman" w:hAnsi="Times New Roman" w:eastAsia="方正仿宋简体" w:cs="Times New Roman"/>
          <w:sz w:val="32"/>
          <w:szCs w:val="32"/>
          <w:highlight w:val="none"/>
        </w:rPr>
        <w:t>今年计划实施的13宗地块开发进度</w:t>
      </w:r>
      <w:r>
        <w:rPr>
          <w:rFonts w:hint="eastAsia" w:ascii="Times New Roman" w:hAnsi="Times New Roman" w:eastAsia="方正仿宋简体" w:cs="Times New Roman"/>
          <w:sz w:val="32"/>
          <w:szCs w:val="32"/>
          <w:highlight w:val="none"/>
        </w:rPr>
        <w:t>，争取项目早开工、早投产、早达效。密切跟踪国家、省专项债券及中央预算内投资项目申报要求，谋划下批项目储备与前期工作，争取更多项目获得支持</w:t>
      </w:r>
      <w:r>
        <w:rPr>
          <w:rFonts w:ascii="Times New Roman" w:hAnsi="Times New Roman" w:eastAsia="方正仿宋简体" w:cs="Times New Roman"/>
          <w:sz w:val="32"/>
          <w:szCs w:val="32"/>
          <w:highlight w:val="none"/>
        </w:rPr>
        <w:t>。深入</w:t>
      </w:r>
      <w:r>
        <w:rPr>
          <w:rFonts w:hint="eastAsia" w:ascii="Times New Roman" w:hAnsi="Times New Roman" w:eastAsia="方正仿宋简体" w:cs="Times New Roman"/>
          <w:sz w:val="32"/>
          <w:szCs w:val="32"/>
          <w:highlight w:val="none"/>
        </w:rPr>
        <w:t>梳理和</w:t>
      </w:r>
      <w:r>
        <w:rPr>
          <w:rFonts w:ascii="Times New Roman" w:hAnsi="Times New Roman" w:eastAsia="方正仿宋简体" w:cs="Times New Roman"/>
          <w:sz w:val="32"/>
          <w:szCs w:val="32"/>
          <w:highlight w:val="none"/>
        </w:rPr>
        <w:t>谋划明年重大项目，争取更多项目入选省市重大</w:t>
      </w:r>
      <w:r>
        <w:rPr>
          <w:rFonts w:hint="eastAsia" w:ascii="Times New Roman" w:hAnsi="Times New Roman" w:eastAsia="方正楷体简体" w:cs="Times New Roman"/>
          <w:sz w:val="32"/>
          <w:szCs w:val="32"/>
          <w:highlight w:val="none"/>
        </w:rPr>
        <w:t>。</w:t>
      </w:r>
      <w:r>
        <w:rPr>
          <w:rFonts w:ascii="Times New Roman" w:hAnsi="Times New Roman" w:eastAsia="方正仿宋简体" w:cs="Times New Roman"/>
          <w:sz w:val="32"/>
          <w:szCs w:val="32"/>
          <w:highlight w:val="none"/>
        </w:rPr>
        <w:t>抓好提振消费专项行动、消费品以旧换新</w:t>
      </w:r>
      <w:r>
        <w:rPr>
          <w:rFonts w:hint="eastAsia" w:ascii="Times New Roman" w:hAnsi="Times New Roman" w:eastAsia="方正仿宋简体" w:cs="Times New Roman"/>
          <w:sz w:val="32"/>
          <w:szCs w:val="32"/>
          <w:highlight w:val="none"/>
        </w:rPr>
        <w:t>、</w:t>
      </w:r>
      <w:r>
        <w:rPr>
          <w:rFonts w:ascii="Times New Roman" w:hAnsi="Times New Roman" w:eastAsia="方正仿宋简体" w:cs="Times New Roman"/>
          <w:sz w:val="32"/>
          <w:szCs w:val="32"/>
          <w:highlight w:val="none"/>
        </w:rPr>
        <w:t>夜间经济等政策机遇，</w:t>
      </w:r>
      <w:bookmarkStart w:id="0" w:name="_Hlk205021368"/>
      <w:r>
        <w:rPr>
          <w:rFonts w:ascii="Times New Roman" w:hAnsi="Times New Roman" w:eastAsia="方正仿宋简体" w:cs="Times New Roman"/>
          <w:sz w:val="32"/>
          <w:szCs w:val="32"/>
          <w:highlight w:val="none"/>
        </w:rPr>
        <w:t>提振汽车、家电家居家装等大宗消费，</w:t>
      </w:r>
      <w:bookmarkEnd w:id="0"/>
      <w:r>
        <w:rPr>
          <w:rFonts w:ascii="Times New Roman" w:hAnsi="Times New Roman" w:eastAsia="方正仿宋简体" w:cs="Times New Roman"/>
          <w:sz w:val="32"/>
          <w:szCs w:val="32"/>
          <w:highlight w:val="none"/>
        </w:rPr>
        <w:t>加强重点商圈、特色街区建设，推进县域商业建设行动，</w:t>
      </w:r>
      <w:bookmarkStart w:id="1" w:name="_Hlk205021373"/>
      <w:r>
        <w:rPr>
          <w:rFonts w:ascii="Times New Roman" w:hAnsi="Times New Roman" w:eastAsia="方正仿宋简体" w:cs="Times New Roman"/>
          <w:sz w:val="32"/>
          <w:szCs w:val="32"/>
          <w:highlight w:val="none"/>
        </w:rPr>
        <w:t>争创全国县域商业“领跑县”。</w:t>
      </w:r>
      <w:bookmarkEnd w:id="1"/>
    </w:p>
    <w:p w14:paraId="6C630F8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sz w:val="32"/>
          <w:szCs w:val="32"/>
          <w:highlight w:val="none"/>
        </w:rPr>
      </w:pPr>
      <w:r>
        <w:rPr>
          <w:rFonts w:ascii="Times New Roman" w:hAnsi="Times New Roman" w:eastAsia="方正楷体简体" w:cs="Times New Roman"/>
          <w:b/>
          <w:bCs/>
          <w:sz w:val="32"/>
          <w:szCs w:val="32"/>
          <w:highlight w:val="none"/>
        </w:rPr>
        <w:t>四是聚力攻坚突破，推动改革创新赋能提速</w:t>
      </w:r>
      <w:r>
        <w:rPr>
          <w:rFonts w:ascii="Times New Roman" w:hAnsi="Times New Roman" w:eastAsia="方正楷体简体" w:cs="Times New Roman"/>
          <w:sz w:val="32"/>
          <w:szCs w:val="32"/>
          <w:highlight w:val="none"/>
        </w:rPr>
        <w:t>。</w:t>
      </w:r>
      <w:r>
        <w:rPr>
          <w:rFonts w:ascii="Times New Roman" w:hAnsi="Times New Roman" w:eastAsia="方正仿宋简体" w:cs="Times New Roman"/>
          <w:sz w:val="32"/>
          <w:szCs w:val="32"/>
          <w:highlight w:val="none"/>
        </w:rPr>
        <w:t>扎实推进重点领域和关键环节改革，加强资源整合和服务集成，进一步健全暖企助企、纾困解难及政策直达快享、免申即享长效机制，加快打造“一网统管”新场景、新应用，最大程度利企便民。</w:t>
      </w:r>
      <w:r>
        <w:rPr>
          <w:rFonts w:hint="eastAsia" w:ascii="Times New Roman" w:hAnsi="Times New Roman" w:eastAsia="方正仿宋简体" w:cs="Times New Roman"/>
          <w:sz w:val="32"/>
          <w:szCs w:val="32"/>
          <w:highlight w:val="none"/>
        </w:rPr>
        <w:t>持续放大</w:t>
      </w:r>
      <w:r>
        <w:rPr>
          <w:rFonts w:ascii="Times New Roman" w:hAnsi="Times New Roman" w:eastAsia="方正仿宋简体" w:cs="Times New Roman"/>
          <w:sz w:val="32"/>
          <w:szCs w:val="32"/>
          <w:highlight w:val="none"/>
        </w:rPr>
        <w:t>“将心比心 换位跑流程”行动</w:t>
      </w:r>
      <w:r>
        <w:rPr>
          <w:rFonts w:hint="eastAsia" w:ascii="Times New Roman" w:hAnsi="Times New Roman" w:eastAsia="方正仿宋简体" w:cs="Times New Roman"/>
          <w:sz w:val="32"/>
          <w:szCs w:val="32"/>
          <w:highlight w:val="none"/>
        </w:rPr>
        <w:t>效应</w:t>
      </w:r>
      <w:r>
        <w:rPr>
          <w:rFonts w:ascii="Times New Roman" w:hAnsi="Times New Roman" w:eastAsia="方正仿宋简体" w:cs="Times New Roman"/>
          <w:sz w:val="32"/>
          <w:szCs w:val="32"/>
          <w:highlight w:val="none"/>
        </w:rPr>
        <w:t>，构建闭环管理机制，</w:t>
      </w:r>
      <w:r>
        <w:rPr>
          <w:rFonts w:hint="eastAsia" w:ascii="Times New Roman" w:hAnsi="Times New Roman" w:eastAsia="方正仿宋简体" w:cs="Times New Roman"/>
          <w:sz w:val="32"/>
          <w:szCs w:val="32"/>
          <w:highlight w:val="none"/>
        </w:rPr>
        <w:t>做好</w:t>
      </w:r>
      <w:r>
        <w:rPr>
          <w:rFonts w:ascii="Times New Roman" w:hAnsi="Times New Roman" w:eastAsia="方正仿宋简体" w:cs="Times New Roman"/>
          <w:sz w:val="32"/>
          <w:szCs w:val="32"/>
          <w:highlight w:val="none"/>
        </w:rPr>
        <w:t>政策宣传、问题协调</w:t>
      </w:r>
      <w:r>
        <w:rPr>
          <w:rFonts w:hint="eastAsia" w:ascii="Times New Roman" w:hAnsi="Times New Roman" w:eastAsia="方正仿宋简体" w:cs="Times New Roman"/>
          <w:sz w:val="32"/>
          <w:szCs w:val="32"/>
          <w:highlight w:val="none"/>
        </w:rPr>
        <w:t>等，</w:t>
      </w:r>
      <w:r>
        <w:rPr>
          <w:rFonts w:ascii="Times New Roman" w:hAnsi="Times New Roman" w:eastAsia="方正仿宋简体" w:cs="Times New Roman"/>
          <w:sz w:val="32"/>
          <w:szCs w:val="32"/>
          <w:highlight w:val="none"/>
        </w:rPr>
        <w:t>提升市场主体满意度、营商环境获得感</w:t>
      </w:r>
      <w:r>
        <w:rPr>
          <w:rFonts w:hint="eastAsia" w:ascii="Times New Roman" w:hAnsi="Times New Roman" w:eastAsia="方正仿宋简体" w:cs="Times New Roman"/>
          <w:sz w:val="32"/>
          <w:szCs w:val="32"/>
          <w:highlight w:val="none"/>
        </w:rPr>
        <w:t>；</w:t>
      </w:r>
      <w:r>
        <w:rPr>
          <w:rFonts w:ascii="Times New Roman" w:hAnsi="Times New Roman" w:eastAsia="方正仿宋简体" w:cs="Times New Roman"/>
          <w:sz w:val="32"/>
          <w:szCs w:val="32"/>
          <w:highlight w:val="none"/>
        </w:rPr>
        <w:t>深入实施国企改革深化提升行动，推动国企加快布局新领域、新赛道，不断提升市场竞争力。以破解企业发展难题为抓手，全力服务民营经济高质量发展。持续扩大高水平对外开放，推动传统企业数字贸易转型，加快“跨境电商+产业带”融合发展，</w:t>
      </w:r>
      <w:r>
        <w:rPr>
          <w:rFonts w:hint="eastAsia" w:ascii="Times New Roman" w:hAnsi="Times New Roman" w:eastAsia="方正仿宋简体" w:cs="Times New Roman"/>
          <w:sz w:val="32"/>
          <w:szCs w:val="32"/>
          <w:highlight w:val="none"/>
        </w:rPr>
        <w:t>推进</w:t>
      </w:r>
      <w:r>
        <w:rPr>
          <w:rFonts w:ascii="Times New Roman" w:hAnsi="Times New Roman" w:eastAsia="方正仿宋简体" w:cs="Times New Roman"/>
          <w:sz w:val="32"/>
          <w:szCs w:val="32"/>
          <w:highlight w:val="none"/>
        </w:rPr>
        <w:t>跨境电商进出口额占比</w:t>
      </w:r>
      <w:r>
        <w:rPr>
          <w:rFonts w:hint="eastAsia" w:ascii="Times New Roman" w:hAnsi="Times New Roman" w:eastAsia="方正仿宋简体" w:cs="Times New Roman"/>
          <w:sz w:val="32"/>
          <w:szCs w:val="32"/>
          <w:highlight w:val="none"/>
        </w:rPr>
        <w:t>持续提升</w:t>
      </w:r>
      <w:r>
        <w:rPr>
          <w:rFonts w:ascii="Times New Roman" w:hAnsi="Times New Roman" w:eastAsia="方正仿宋简体" w:cs="Times New Roman"/>
          <w:sz w:val="32"/>
          <w:szCs w:val="32"/>
          <w:highlight w:val="none"/>
        </w:rPr>
        <w:t>。</w:t>
      </w:r>
      <w:bookmarkStart w:id="2" w:name="_Hlk205021404"/>
      <w:r>
        <w:rPr>
          <w:rFonts w:hint="eastAsia" w:ascii="Times New Roman" w:hAnsi="Times New Roman" w:eastAsia="方正仿宋简体" w:cs="Times New Roman"/>
          <w:sz w:val="32"/>
          <w:szCs w:val="32"/>
          <w:highlight w:val="none"/>
        </w:rPr>
        <w:t>全面主动融入</w:t>
      </w:r>
      <w:r>
        <w:rPr>
          <w:rFonts w:ascii="Times New Roman" w:hAnsi="Times New Roman" w:eastAsia="方正仿宋简体" w:cs="Times New Roman"/>
          <w:sz w:val="32"/>
          <w:szCs w:val="32"/>
          <w:highlight w:val="none"/>
        </w:rPr>
        <w:t>江北“一体化”</w:t>
      </w:r>
      <w:bookmarkEnd w:id="2"/>
      <w:r>
        <w:rPr>
          <w:rFonts w:ascii="Times New Roman" w:hAnsi="Times New Roman" w:eastAsia="方正仿宋简体" w:cs="Times New Roman"/>
          <w:sz w:val="32"/>
          <w:szCs w:val="32"/>
          <w:highlight w:val="none"/>
        </w:rPr>
        <w:t>，协</w:t>
      </w:r>
      <w:r>
        <w:rPr>
          <w:rFonts w:hint="eastAsia" w:ascii="Times New Roman" w:hAnsi="Times New Roman" w:eastAsia="方正仿宋简体" w:cs="Times New Roman"/>
          <w:sz w:val="32"/>
          <w:szCs w:val="32"/>
          <w:highlight w:val="none"/>
        </w:rPr>
        <w:t>同毗邻地区发展，提升城市发展能级。</w:t>
      </w:r>
    </w:p>
    <w:p w14:paraId="2F56C77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highlight w:val="none"/>
          <w:lang w:val="en-US" w:eastAsia="zh-CN"/>
        </w:rPr>
      </w:pPr>
      <w:r>
        <w:rPr>
          <w:rFonts w:ascii="Times New Roman" w:hAnsi="Times New Roman" w:eastAsia="方正楷体简体" w:cs="Times New Roman"/>
          <w:b/>
          <w:bCs/>
          <w:sz w:val="32"/>
          <w:szCs w:val="32"/>
          <w:highlight w:val="none"/>
        </w:rPr>
        <w:t>五是紧扣全域提升，</w:t>
      </w:r>
      <w:bookmarkStart w:id="3" w:name="OLE_LINK3"/>
      <w:r>
        <w:rPr>
          <w:rFonts w:hint="eastAsia" w:ascii="Times New Roman" w:hAnsi="Times New Roman" w:eastAsia="方正楷体简体" w:cs="Times New Roman"/>
          <w:b/>
          <w:bCs/>
          <w:sz w:val="32"/>
          <w:szCs w:val="32"/>
          <w:highlight w:val="none"/>
        </w:rPr>
        <w:t>推动城乡面貌</w:t>
      </w:r>
      <w:bookmarkEnd w:id="3"/>
      <w:r>
        <w:rPr>
          <w:rFonts w:hint="eastAsia" w:ascii="Times New Roman" w:hAnsi="Times New Roman" w:eastAsia="方正楷体简体" w:cs="Times New Roman"/>
          <w:b/>
          <w:bCs/>
          <w:sz w:val="32"/>
          <w:szCs w:val="32"/>
          <w:highlight w:val="none"/>
        </w:rPr>
        <w:t>焕然一新</w:t>
      </w:r>
      <w:r>
        <w:rPr>
          <w:rFonts w:ascii="Times New Roman" w:hAnsi="Times New Roman" w:eastAsia="方正楷体简体" w:cs="Times New Roman"/>
          <w:sz w:val="32"/>
          <w:szCs w:val="32"/>
          <w:highlight w:val="none"/>
        </w:rPr>
        <w:t>。</w:t>
      </w:r>
      <w:r>
        <w:rPr>
          <w:rFonts w:ascii="Times New Roman" w:hAnsi="Times New Roman" w:eastAsia="方正仿宋简体" w:cs="Times New Roman"/>
          <w:sz w:val="32"/>
          <w:szCs w:val="32"/>
          <w:highlight w:val="none"/>
        </w:rPr>
        <w:t>高标准起草“十五五”规划《纲要》和中长期城市发展战略研究报告，统筹开展系列专项规划编制</w:t>
      </w:r>
      <w:r>
        <w:rPr>
          <w:rFonts w:hint="eastAsia" w:ascii="Times New Roman" w:hAnsi="Times New Roman" w:eastAsia="方正仿宋简体" w:cs="Times New Roman"/>
          <w:sz w:val="32"/>
          <w:szCs w:val="32"/>
          <w:highlight w:val="none"/>
        </w:rPr>
        <w:t>；科学</w:t>
      </w:r>
      <w:r>
        <w:rPr>
          <w:rFonts w:ascii="Times New Roman" w:hAnsi="Times New Roman" w:eastAsia="方正仿宋简体" w:cs="Times New Roman"/>
          <w:sz w:val="32"/>
          <w:szCs w:val="32"/>
          <w:highlight w:val="none"/>
        </w:rPr>
        <w:t>谋划</w:t>
      </w:r>
      <w:r>
        <w:rPr>
          <w:rFonts w:hint="eastAsia" w:ascii="Times New Roman" w:hAnsi="Times New Roman" w:eastAsia="方正仿宋简体" w:cs="Times New Roman"/>
          <w:sz w:val="32"/>
          <w:szCs w:val="32"/>
          <w:highlight w:val="none"/>
        </w:rPr>
        <w:t>绿色生产力特色区、产业科技融合、高校成果转化、产城融合等</w:t>
      </w:r>
      <w:r>
        <w:rPr>
          <w:rFonts w:ascii="Times New Roman" w:hAnsi="Times New Roman" w:eastAsia="方正仿宋简体" w:cs="Times New Roman"/>
          <w:sz w:val="32"/>
          <w:szCs w:val="32"/>
          <w:highlight w:val="none"/>
        </w:rPr>
        <w:t>一批重</w:t>
      </w:r>
      <w:r>
        <w:rPr>
          <w:rFonts w:hint="eastAsia" w:ascii="Times New Roman" w:hAnsi="Times New Roman" w:eastAsia="方正仿宋简体" w:cs="Times New Roman"/>
          <w:sz w:val="32"/>
          <w:szCs w:val="32"/>
          <w:highlight w:val="none"/>
        </w:rPr>
        <w:t>大事项</w:t>
      </w:r>
      <w:r>
        <w:rPr>
          <w:rFonts w:ascii="Times New Roman" w:hAnsi="Times New Roman" w:eastAsia="方正仿宋简体" w:cs="Times New Roman"/>
          <w:sz w:val="32"/>
          <w:szCs w:val="32"/>
          <w:highlight w:val="none"/>
        </w:rPr>
        <w:t>，积极向上汇报，争取更多六合元素纳入国家、省、市“十五五”规划</w:t>
      </w:r>
      <w:r>
        <w:rPr>
          <w:rFonts w:hint="eastAsia" w:ascii="Times New Roman" w:hAnsi="Times New Roman" w:eastAsia="方正仿宋简体" w:cs="Times New Roman"/>
          <w:sz w:val="32"/>
          <w:szCs w:val="32"/>
          <w:highlight w:val="none"/>
        </w:rPr>
        <w:t>；</w:t>
      </w:r>
      <w:r>
        <w:rPr>
          <w:rFonts w:ascii="Times New Roman" w:hAnsi="Times New Roman" w:eastAsia="方正仿宋简体" w:cs="Times New Roman"/>
          <w:sz w:val="32"/>
          <w:szCs w:val="32"/>
          <w:highlight w:val="none"/>
        </w:rPr>
        <w:t>全力服务保障北沿江高铁、宁淮城际铁路、501省道等重大交通工程建设，加速推进重点市政道路建设。持续优化公交线网，推动公共交通行业健康可持续发展。</w:t>
      </w:r>
      <w:r>
        <w:rPr>
          <w:rFonts w:ascii="Times New Roman" w:hAnsi="Times New Roman" w:eastAsia="方正仿宋简体" w:cs="Times New Roman"/>
          <w:sz w:val="32"/>
          <w:szCs w:val="32"/>
          <w:highlight w:val="none"/>
          <w:lang w:val="zh-CN"/>
        </w:rPr>
        <w:t>加快</w:t>
      </w:r>
      <w:r>
        <w:rPr>
          <w:rFonts w:ascii="Times New Roman" w:hAnsi="Times New Roman" w:eastAsia="方正仿宋简体" w:cs="Times New Roman"/>
          <w:sz w:val="32"/>
          <w:szCs w:val="32"/>
          <w:highlight w:val="none"/>
        </w:rPr>
        <w:t>推进422、文庙片区城市更新</w:t>
      </w:r>
      <w:r>
        <w:rPr>
          <w:rFonts w:hint="eastAsia" w:ascii="Times New Roman" w:hAnsi="Times New Roman" w:eastAsia="方正仿宋简体" w:cs="Times New Roman"/>
          <w:sz w:val="32"/>
          <w:szCs w:val="32"/>
          <w:highlight w:val="none"/>
          <w:lang w:val="en-US" w:eastAsia="zh-CN"/>
        </w:rPr>
        <w:t>以及南工职大选址地块房屋搬迁</w:t>
      </w:r>
      <w:r>
        <w:rPr>
          <w:rFonts w:ascii="Times New Roman" w:hAnsi="Times New Roman" w:eastAsia="方正仿宋简体" w:cs="Times New Roman"/>
          <w:sz w:val="32"/>
          <w:szCs w:val="32"/>
          <w:highlight w:val="none"/>
        </w:rPr>
        <w:t>等项目实施。对照“安心用气工程”要点，持续开展“回头看”工作，确保整治工作全覆盖、不遗漏。</w:t>
      </w:r>
      <w:r>
        <w:rPr>
          <w:rFonts w:hint="eastAsia" w:ascii="Times New Roman" w:hAnsi="Times New Roman" w:eastAsia="方正仿宋简体" w:cs="Times New Roman"/>
          <w:sz w:val="32"/>
          <w:szCs w:val="32"/>
          <w:highlight w:val="none"/>
          <w:lang w:val="en-US" w:eastAsia="zh-CN"/>
        </w:rPr>
        <w:t>全力推动城市治理突出问题攻坚，</w:t>
      </w:r>
      <w:r>
        <w:rPr>
          <w:rFonts w:ascii="Times New Roman" w:hAnsi="Times New Roman" w:eastAsia="方正仿宋简体" w:cs="Times New Roman"/>
          <w:sz w:val="32"/>
          <w:szCs w:val="32"/>
          <w:highlight w:val="none"/>
        </w:rPr>
        <w:t>做好市容市貌、背街小巷治理、垃圾分类、物业管理、污水处理等服务群众“最后一公里”事项，不断提升城市依法管理、智慧管理、精细管理水平。</w:t>
      </w:r>
    </w:p>
    <w:p w14:paraId="2F2F06F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sz w:val="32"/>
          <w:szCs w:val="32"/>
          <w:highlight w:val="none"/>
        </w:rPr>
      </w:pPr>
      <w:r>
        <w:rPr>
          <w:rFonts w:ascii="Times New Roman" w:hAnsi="Times New Roman" w:eastAsia="方正楷体简体" w:cs="Times New Roman"/>
          <w:b/>
          <w:bCs/>
          <w:sz w:val="32"/>
          <w:szCs w:val="32"/>
          <w:highlight w:val="none"/>
        </w:rPr>
        <w:t>六是守牢绿色底线，推动生态建设全面提优</w:t>
      </w:r>
      <w:r>
        <w:rPr>
          <w:rFonts w:ascii="Times New Roman" w:hAnsi="Times New Roman" w:eastAsia="方正楷体简体" w:cs="Times New Roman"/>
          <w:sz w:val="32"/>
          <w:szCs w:val="32"/>
          <w:highlight w:val="none"/>
        </w:rPr>
        <w:t>。</w:t>
      </w:r>
      <w:r>
        <w:rPr>
          <w:rFonts w:ascii="Times New Roman" w:hAnsi="Times New Roman" w:eastAsia="方正仿宋简体" w:cs="Times New Roman"/>
          <w:sz w:val="32"/>
          <w:szCs w:val="32"/>
          <w:highlight w:val="none"/>
        </w:rPr>
        <w:t>持续打好污染防治攻坚战，狠抓工业、扬尘、车辆尾气、秸秆禁烧专项整治，强化区域联防联控和污染天气应对，进一步降低PM2.5浓度，不断提升空气质量。</w:t>
      </w:r>
      <w:r>
        <w:rPr>
          <w:rFonts w:hint="eastAsia" w:ascii="Times New Roman" w:hAnsi="Times New Roman" w:eastAsia="方正仿宋简体" w:cs="Times New Roman"/>
          <w:sz w:val="32"/>
          <w:szCs w:val="32"/>
          <w:highlight w:val="none"/>
        </w:rPr>
        <w:t>大力开展水环境治理，深入开展</w:t>
      </w:r>
      <w:r>
        <w:rPr>
          <w:rFonts w:hint="eastAsia" w:ascii="Times New Roman" w:hAnsi="Times New Roman" w:eastAsia="方正仿宋简体" w:cs="Times New Roman"/>
          <w:sz w:val="32"/>
          <w:szCs w:val="32"/>
          <w:highlight w:val="none"/>
          <w:lang w:val="en-US" w:eastAsia="zh-CN"/>
        </w:rPr>
        <w:t>入</w:t>
      </w:r>
      <w:r>
        <w:rPr>
          <w:rFonts w:ascii="Times New Roman" w:hAnsi="Times New Roman" w:eastAsia="方正仿宋_GBK" w:cs="Times New Roman"/>
          <w:sz w:val="32"/>
          <w:szCs w:val="32"/>
          <w:highlight w:val="none"/>
        </w:rPr>
        <w:t>河排污口巡查监测</w:t>
      </w:r>
      <w:r>
        <w:rPr>
          <w:rFonts w:hint="eastAsia" w:ascii="Times New Roman" w:hAnsi="Times New Roman" w:eastAsia="方正仿宋_GBK" w:cs="Times New Roman"/>
          <w:sz w:val="32"/>
          <w:szCs w:val="32"/>
          <w:highlight w:val="none"/>
        </w:rPr>
        <w:t>与</w:t>
      </w:r>
      <w:r>
        <w:rPr>
          <w:rFonts w:ascii="Times New Roman" w:hAnsi="Times New Roman" w:eastAsia="方正仿宋_GBK" w:cs="Times New Roman"/>
          <w:sz w:val="32"/>
          <w:szCs w:val="32"/>
          <w:highlight w:val="none"/>
        </w:rPr>
        <w:t>问题整治</w:t>
      </w:r>
      <w:r>
        <w:rPr>
          <w:rFonts w:hint="eastAsia" w:ascii="Times New Roman" w:hAnsi="Times New Roman" w:eastAsia="方正仿宋_GBK" w:cs="Times New Roman"/>
          <w:sz w:val="32"/>
          <w:szCs w:val="32"/>
          <w:highlight w:val="none"/>
        </w:rPr>
        <w:t>，</w:t>
      </w:r>
      <w:r>
        <w:rPr>
          <w:rFonts w:ascii="Times New Roman" w:hAnsi="Times New Roman" w:eastAsia="方正仿宋简体" w:cs="Times New Roman"/>
          <w:sz w:val="32"/>
          <w:szCs w:val="32"/>
          <w:highlight w:val="none"/>
        </w:rPr>
        <w:t>完成污水处理厂提标改造</w:t>
      </w:r>
      <w:r>
        <w:rPr>
          <w:rFonts w:hint="eastAsia"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40"/>
          <w:highlight w:val="none"/>
        </w:rPr>
        <w:t>加快</w:t>
      </w:r>
      <w:r>
        <w:rPr>
          <w:rFonts w:ascii="Times New Roman" w:hAnsi="Times New Roman" w:eastAsia="方正仿宋简体" w:cs="Times New Roman"/>
          <w:sz w:val="32"/>
          <w:szCs w:val="32"/>
          <w:highlight w:val="none"/>
        </w:rPr>
        <w:t>1195亩矿山生态修复</w:t>
      </w:r>
      <w:r>
        <w:rPr>
          <w:rFonts w:hint="eastAsia" w:ascii="Times New Roman" w:hAnsi="Times New Roman" w:eastAsia="方正仿宋简体" w:cs="Times New Roman"/>
          <w:sz w:val="32"/>
          <w:szCs w:val="32"/>
          <w:highlight w:val="none"/>
        </w:rPr>
        <w:t>进度。深化</w:t>
      </w:r>
      <w:r>
        <w:rPr>
          <w:rFonts w:ascii="Times New Roman" w:hAnsi="Times New Roman" w:eastAsia="方正仿宋简体" w:cs="Times New Roman"/>
          <w:sz w:val="32"/>
          <w:szCs w:val="32"/>
          <w:highlight w:val="none"/>
        </w:rPr>
        <w:t>省级“双碳”城市试点建设，有序推进风能、光伏等绿电产业，完善和推广绿电交易，不断提升绿色低碳产业在经济总量中的比重。</w:t>
      </w:r>
    </w:p>
    <w:p w14:paraId="3A2ABFF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简体" w:cs="Times New Roman"/>
          <w:sz w:val="32"/>
          <w:szCs w:val="32"/>
          <w:highlight w:val="none"/>
        </w:rPr>
      </w:pPr>
      <w:r>
        <w:rPr>
          <w:rFonts w:ascii="Times New Roman" w:hAnsi="Times New Roman" w:eastAsia="方正楷体简体" w:cs="Times New Roman"/>
          <w:b/>
          <w:bCs/>
          <w:sz w:val="32"/>
          <w:szCs w:val="32"/>
          <w:highlight w:val="none"/>
        </w:rPr>
        <w:t>七是聚焦群众关切，推动民生福祉扩面提标</w:t>
      </w:r>
      <w:r>
        <w:rPr>
          <w:rFonts w:ascii="Times New Roman" w:hAnsi="Times New Roman" w:eastAsia="方正楷体简体" w:cs="Times New Roman"/>
          <w:sz w:val="32"/>
          <w:szCs w:val="32"/>
          <w:highlight w:val="none"/>
        </w:rPr>
        <w:t>。</w:t>
      </w:r>
      <w:r>
        <w:rPr>
          <w:rFonts w:ascii="Times New Roman" w:hAnsi="Times New Roman" w:eastAsia="方正仿宋简体" w:cs="Times New Roman"/>
          <w:sz w:val="32"/>
          <w:szCs w:val="32"/>
          <w:highlight w:val="none"/>
        </w:rPr>
        <w:t>全面贯彻就业优先政策，落细落实重点领域、重点行业、城乡基层就业支持计划，确保全年城镇新增就业7000人。推进市级中医药传承创新发展试点示范项目实施，加快区中医院市级中医重点专科建设。全力创建市优质园1所、省优质园2所，确保省市优质园覆盖率92%以上。深</w:t>
      </w:r>
      <w:r>
        <w:rPr>
          <w:rFonts w:hint="eastAsia" w:ascii="Times New Roman" w:hAnsi="Times New Roman" w:eastAsia="方正仿宋简体" w:cs="Times New Roman"/>
          <w:sz w:val="32"/>
          <w:szCs w:val="32"/>
          <w:highlight w:val="none"/>
        </w:rPr>
        <w:t>入开展</w:t>
      </w:r>
      <w:r>
        <w:rPr>
          <w:rFonts w:ascii="Times New Roman" w:hAnsi="Times New Roman" w:eastAsia="方正仿宋简体" w:cs="Times New Roman"/>
          <w:sz w:val="32"/>
          <w:szCs w:val="32"/>
          <w:highlight w:val="none"/>
        </w:rPr>
        <w:t>“化解矛盾风险 维护社会稳定”专项治理</w:t>
      </w:r>
      <w:r>
        <w:rPr>
          <w:rFonts w:hint="eastAsia" w:ascii="Times New Roman" w:hAnsi="Times New Roman" w:eastAsia="方正仿宋简体" w:cs="Times New Roman"/>
          <w:sz w:val="32"/>
          <w:szCs w:val="32"/>
          <w:highlight w:val="none"/>
        </w:rPr>
        <w:t>，切实</w:t>
      </w:r>
      <w:r>
        <w:rPr>
          <w:rFonts w:ascii="Times New Roman" w:hAnsi="Times New Roman" w:eastAsia="方正仿宋简体" w:cs="Times New Roman"/>
          <w:sz w:val="32"/>
          <w:szCs w:val="32"/>
          <w:highlight w:val="none"/>
        </w:rPr>
        <w:t>提升矛盾纠纷排查化解质效；坚持和发展新时代“枫桥经验”，持续推进信访工作法治化，提高信访事项一次性化解率。加大对房地产、非法集资等领域风险排查化解力度，扎实做好保交</w:t>
      </w:r>
      <w:r>
        <w:rPr>
          <w:rFonts w:hint="eastAsia" w:ascii="Times New Roman" w:hAnsi="Times New Roman" w:eastAsia="方正仿宋简体" w:cs="Times New Roman"/>
          <w:sz w:val="32"/>
          <w:szCs w:val="32"/>
          <w:highlight w:val="none"/>
        </w:rPr>
        <w:t>房</w:t>
      </w:r>
      <w:r>
        <w:rPr>
          <w:rFonts w:ascii="Times New Roman" w:hAnsi="Times New Roman" w:eastAsia="方正仿宋简体" w:cs="Times New Roman"/>
          <w:sz w:val="32"/>
          <w:szCs w:val="32"/>
          <w:highlight w:val="none"/>
        </w:rPr>
        <w:t>、保民生工作，健全完善预付费资金长效监管。持续深化安全生产治本攻坚三年行动，坚决防范遏制</w:t>
      </w:r>
      <w:r>
        <w:rPr>
          <w:rFonts w:hint="eastAsia" w:ascii="Times New Roman" w:hAnsi="Times New Roman" w:eastAsia="方正仿宋简体" w:cs="Times New Roman"/>
          <w:sz w:val="32"/>
          <w:szCs w:val="32"/>
          <w:highlight w:val="none"/>
        </w:rPr>
        <w:t>较大以上</w:t>
      </w:r>
      <w:r>
        <w:rPr>
          <w:rFonts w:ascii="Times New Roman" w:hAnsi="Times New Roman" w:eastAsia="方正仿宋简体" w:cs="Times New Roman"/>
          <w:sz w:val="32"/>
          <w:szCs w:val="32"/>
          <w:highlight w:val="none"/>
        </w:rPr>
        <w:t>生产安全事故。</w:t>
      </w:r>
    </w:p>
    <w:sectPr>
      <w:footerReference r:id="rId3" w:type="default"/>
      <w:pgSz w:w="11906" w:h="16838"/>
      <w:pgMar w:top="2098" w:right="1474" w:bottom="1984" w:left="1587" w:header="851" w:footer="141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3DA32">
    <w:pPr>
      <w:pStyle w:val="3"/>
      <w:jc w:val="center"/>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785342184"/>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sdtContent>
    </w:sdt>
  </w:p>
  <w:p w14:paraId="6061565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749FB"/>
    <w:rsid w:val="00032DB2"/>
    <w:rsid w:val="00055A16"/>
    <w:rsid w:val="00121AD6"/>
    <w:rsid w:val="00317740"/>
    <w:rsid w:val="00352F4E"/>
    <w:rsid w:val="00360E93"/>
    <w:rsid w:val="00393279"/>
    <w:rsid w:val="003C14C5"/>
    <w:rsid w:val="00413EF6"/>
    <w:rsid w:val="00450B0B"/>
    <w:rsid w:val="00453EFB"/>
    <w:rsid w:val="004748D7"/>
    <w:rsid w:val="004E1837"/>
    <w:rsid w:val="005900E5"/>
    <w:rsid w:val="00600CA7"/>
    <w:rsid w:val="00622096"/>
    <w:rsid w:val="006E5B15"/>
    <w:rsid w:val="00746C50"/>
    <w:rsid w:val="007C4837"/>
    <w:rsid w:val="007C7397"/>
    <w:rsid w:val="008B32F9"/>
    <w:rsid w:val="009639B4"/>
    <w:rsid w:val="00A3689B"/>
    <w:rsid w:val="00AC46BA"/>
    <w:rsid w:val="00B43704"/>
    <w:rsid w:val="00C16BB3"/>
    <w:rsid w:val="00C43BA0"/>
    <w:rsid w:val="00C74AD9"/>
    <w:rsid w:val="00CB13FA"/>
    <w:rsid w:val="00DA0C30"/>
    <w:rsid w:val="00E22E7F"/>
    <w:rsid w:val="00E553A6"/>
    <w:rsid w:val="00E64904"/>
    <w:rsid w:val="00E8291E"/>
    <w:rsid w:val="00E866F0"/>
    <w:rsid w:val="00F47B7A"/>
    <w:rsid w:val="00F753A5"/>
    <w:rsid w:val="00F93D03"/>
    <w:rsid w:val="00FB571F"/>
    <w:rsid w:val="0160084E"/>
    <w:rsid w:val="01A93FA3"/>
    <w:rsid w:val="01EB68FC"/>
    <w:rsid w:val="01EE5E5A"/>
    <w:rsid w:val="029D33DC"/>
    <w:rsid w:val="03036D35"/>
    <w:rsid w:val="030E7E36"/>
    <w:rsid w:val="038A570F"/>
    <w:rsid w:val="039504B1"/>
    <w:rsid w:val="03A52548"/>
    <w:rsid w:val="04363AE8"/>
    <w:rsid w:val="04B844FD"/>
    <w:rsid w:val="04E828F3"/>
    <w:rsid w:val="058A40EC"/>
    <w:rsid w:val="05BD054D"/>
    <w:rsid w:val="071A324D"/>
    <w:rsid w:val="07462BED"/>
    <w:rsid w:val="0791652A"/>
    <w:rsid w:val="07C5140B"/>
    <w:rsid w:val="0845254C"/>
    <w:rsid w:val="090C4E18"/>
    <w:rsid w:val="098F1CD1"/>
    <w:rsid w:val="09D973F0"/>
    <w:rsid w:val="0A9652E1"/>
    <w:rsid w:val="0AAE43D8"/>
    <w:rsid w:val="0B597A11"/>
    <w:rsid w:val="0B696551"/>
    <w:rsid w:val="0BC333C6"/>
    <w:rsid w:val="0C1A0C5A"/>
    <w:rsid w:val="0D246BD4"/>
    <w:rsid w:val="0D3D7748"/>
    <w:rsid w:val="0D411534"/>
    <w:rsid w:val="0D4500C0"/>
    <w:rsid w:val="0D4841F9"/>
    <w:rsid w:val="0DBA6F5E"/>
    <w:rsid w:val="0DDF1A07"/>
    <w:rsid w:val="0E3F0579"/>
    <w:rsid w:val="0E963B01"/>
    <w:rsid w:val="0EAC6998"/>
    <w:rsid w:val="0F8A6A96"/>
    <w:rsid w:val="10150A56"/>
    <w:rsid w:val="107D08D6"/>
    <w:rsid w:val="10A11A07"/>
    <w:rsid w:val="10C66FE1"/>
    <w:rsid w:val="112C60B0"/>
    <w:rsid w:val="11630664"/>
    <w:rsid w:val="121F796A"/>
    <w:rsid w:val="130C4392"/>
    <w:rsid w:val="130E6CE7"/>
    <w:rsid w:val="13581385"/>
    <w:rsid w:val="13635CBA"/>
    <w:rsid w:val="13A02D2C"/>
    <w:rsid w:val="13B41253"/>
    <w:rsid w:val="14BE790E"/>
    <w:rsid w:val="152C0FBD"/>
    <w:rsid w:val="163732B4"/>
    <w:rsid w:val="163D4862"/>
    <w:rsid w:val="166B5873"/>
    <w:rsid w:val="1732013F"/>
    <w:rsid w:val="17345C65"/>
    <w:rsid w:val="17C27715"/>
    <w:rsid w:val="189664AC"/>
    <w:rsid w:val="18B0756E"/>
    <w:rsid w:val="19267830"/>
    <w:rsid w:val="193803F8"/>
    <w:rsid w:val="19410B0E"/>
    <w:rsid w:val="19A64A85"/>
    <w:rsid w:val="1A864A2A"/>
    <w:rsid w:val="1AE31E7C"/>
    <w:rsid w:val="1B1B306B"/>
    <w:rsid w:val="1B1F09DB"/>
    <w:rsid w:val="1B56010D"/>
    <w:rsid w:val="1B590390"/>
    <w:rsid w:val="1BFB31F6"/>
    <w:rsid w:val="1C2C4C0F"/>
    <w:rsid w:val="1CA1494D"/>
    <w:rsid w:val="1D975F15"/>
    <w:rsid w:val="1E4A0464"/>
    <w:rsid w:val="1F5C044F"/>
    <w:rsid w:val="1F6C0B82"/>
    <w:rsid w:val="1F947BE9"/>
    <w:rsid w:val="1F9A0F77"/>
    <w:rsid w:val="20146634"/>
    <w:rsid w:val="20CA763A"/>
    <w:rsid w:val="20E029BA"/>
    <w:rsid w:val="20FA4095"/>
    <w:rsid w:val="219537A4"/>
    <w:rsid w:val="21F04E7F"/>
    <w:rsid w:val="22DE265F"/>
    <w:rsid w:val="23EB6515"/>
    <w:rsid w:val="24253506"/>
    <w:rsid w:val="250A15E6"/>
    <w:rsid w:val="26311465"/>
    <w:rsid w:val="26C07516"/>
    <w:rsid w:val="27280C17"/>
    <w:rsid w:val="276A7481"/>
    <w:rsid w:val="27AC35F6"/>
    <w:rsid w:val="28546167"/>
    <w:rsid w:val="28A8200F"/>
    <w:rsid w:val="28D70B46"/>
    <w:rsid w:val="293B7327"/>
    <w:rsid w:val="29533F2C"/>
    <w:rsid w:val="29705D42"/>
    <w:rsid w:val="29CC4423"/>
    <w:rsid w:val="2B177920"/>
    <w:rsid w:val="2B724B56"/>
    <w:rsid w:val="2B820819"/>
    <w:rsid w:val="2B966A97"/>
    <w:rsid w:val="2C197BFF"/>
    <w:rsid w:val="2C2B5431"/>
    <w:rsid w:val="2C5F16B6"/>
    <w:rsid w:val="2C7C7A3B"/>
    <w:rsid w:val="2CC31B0E"/>
    <w:rsid w:val="2CC71223"/>
    <w:rsid w:val="2CF07BB2"/>
    <w:rsid w:val="2D012636"/>
    <w:rsid w:val="2EE477DE"/>
    <w:rsid w:val="2F1228D8"/>
    <w:rsid w:val="2F927575"/>
    <w:rsid w:val="2FC811E9"/>
    <w:rsid w:val="301F409E"/>
    <w:rsid w:val="309317F7"/>
    <w:rsid w:val="30A21A3A"/>
    <w:rsid w:val="318553D9"/>
    <w:rsid w:val="31C77B14"/>
    <w:rsid w:val="31D73965"/>
    <w:rsid w:val="323A056C"/>
    <w:rsid w:val="329830F5"/>
    <w:rsid w:val="335E433E"/>
    <w:rsid w:val="33A65CD2"/>
    <w:rsid w:val="348222AE"/>
    <w:rsid w:val="34A43FD3"/>
    <w:rsid w:val="352411A6"/>
    <w:rsid w:val="3538686A"/>
    <w:rsid w:val="354E3F3E"/>
    <w:rsid w:val="35E01802"/>
    <w:rsid w:val="365E28A7"/>
    <w:rsid w:val="36EE0AE7"/>
    <w:rsid w:val="36FC45F0"/>
    <w:rsid w:val="37060F75"/>
    <w:rsid w:val="371B2546"/>
    <w:rsid w:val="37C8622A"/>
    <w:rsid w:val="37E8067A"/>
    <w:rsid w:val="37EC3AB6"/>
    <w:rsid w:val="384358B1"/>
    <w:rsid w:val="3928025C"/>
    <w:rsid w:val="3B163B98"/>
    <w:rsid w:val="3B742225"/>
    <w:rsid w:val="3C6B2D96"/>
    <w:rsid w:val="3C9E1C4F"/>
    <w:rsid w:val="3D141F11"/>
    <w:rsid w:val="3E601CBE"/>
    <w:rsid w:val="3EA352FB"/>
    <w:rsid w:val="3EC80BC2"/>
    <w:rsid w:val="3FE10479"/>
    <w:rsid w:val="40157658"/>
    <w:rsid w:val="40D75730"/>
    <w:rsid w:val="4120702C"/>
    <w:rsid w:val="414636F0"/>
    <w:rsid w:val="41883B46"/>
    <w:rsid w:val="41C533A1"/>
    <w:rsid w:val="425D3A13"/>
    <w:rsid w:val="42AB29D0"/>
    <w:rsid w:val="42B960EA"/>
    <w:rsid w:val="42DF267A"/>
    <w:rsid w:val="43744050"/>
    <w:rsid w:val="43AA0EDA"/>
    <w:rsid w:val="44004F9E"/>
    <w:rsid w:val="442F13DF"/>
    <w:rsid w:val="44D75C4D"/>
    <w:rsid w:val="4588524B"/>
    <w:rsid w:val="45F75F2C"/>
    <w:rsid w:val="46026DAB"/>
    <w:rsid w:val="464A39A7"/>
    <w:rsid w:val="471B1C50"/>
    <w:rsid w:val="47971864"/>
    <w:rsid w:val="47D438C8"/>
    <w:rsid w:val="480303E8"/>
    <w:rsid w:val="487024AE"/>
    <w:rsid w:val="48A56114"/>
    <w:rsid w:val="48FF75D2"/>
    <w:rsid w:val="4A0A0924"/>
    <w:rsid w:val="4A7B712C"/>
    <w:rsid w:val="4A8420B3"/>
    <w:rsid w:val="4AB12C5F"/>
    <w:rsid w:val="4B50680B"/>
    <w:rsid w:val="4B5736F5"/>
    <w:rsid w:val="4C0554CB"/>
    <w:rsid w:val="4C1A464A"/>
    <w:rsid w:val="4D41465D"/>
    <w:rsid w:val="4D47126F"/>
    <w:rsid w:val="4DB51BB3"/>
    <w:rsid w:val="4DFE42FC"/>
    <w:rsid w:val="4FF4763C"/>
    <w:rsid w:val="504B134F"/>
    <w:rsid w:val="50F749FB"/>
    <w:rsid w:val="510936E3"/>
    <w:rsid w:val="513444D8"/>
    <w:rsid w:val="51752B27"/>
    <w:rsid w:val="519C4558"/>
    <w:rsid w:val="520301DC"/>
    <w:rsid w:val="5245750E"/>
    <w:rsid w:val="525210BA"/>
    <w:rsid w:val="52D93700"/>
    <w:rsid w:val="52E57838"/>
    <w:rsid w:val="53193986"/>
    <w:rsid w:val="53E915AA"/>
    <w:rsid w:val="54A360F2"/>
    <w:rsid w:val="55172147"/>
    <w:rsid w:val="556644E1"/>
    <w:rsid w:val="55782BE6"/>
    <w:rsid w:val="564D3C87"/>
    <w:rsid w:val="569577C7"/>
    <w:rsid w:val="56D26326"/>
    <w:rsid w:val="56D9546D"/>
    <w:rsid w:val="58C1357A"/>
    <w:rsid w:val="59A65848"/>
    <w:rsid w:val="59E208A7"/>
    <w:rsid w:val="59E33FE6"/>
    <w:rsid w:val="5A9118FE"/>
    <w:rsid w:val="5A9E40F2"/>
    <w:rsid w:val="5AD22D98"/>
    <w:rsid w:val="5B3255E5"/>
    <w:rsid w:val="5B47457A"/>
    <w:rsid w:val="5BE10DB9"/>
    <w:rsid w:val="5C645C72"/>
    <w:rsid w:val="5C871960"/>
    <w:rsid w:val="5D1859F9"/>
    <w:rsid w:val="5D753EAF"/>
    <w:rsid w:val="5D91075C"/>
    <w:rsid w:val="5DBC7D30"/>
    <w:rsid w:val="5FA82319"/>
    <w:rsid w:val="5FDC0215"/>
    <w:rsid w:val="60017C7C"/>
    <w:rsid w:val="60584F1D"/>
    <w:rsid w:val="611539DF"/>
    <w:rsid w:val="613618F9"/>
    <w:rsid w:val="62AB7DAA"/>
    <w:rsid w:val="62D43425"/>
    <w:rsid w:val="631940F9"/>
    <w:rsid w:val="63A257B4"/>
    <w:rsid w:val="642F125B"/>
    <w:rsid w:val="64550836"/>
    <w:rsid w:val="64B452BD"/>
    <w:rsid w:val="64DE058B"/>
    <w:rsid w:val="65AB66C0"/>
    <w:rsid w:val="66A55805"/>
    <w:rsid w:val="68030A35"/>
    <w:rsid w:val="68040309"/>
    <w:rsid w:val="6885769C"/>
    <w:rsid w:val="68914293"/>
    <w:rsid w:val="69966140"/>
    <w:rsid w:val="6A31115D"/>
    <w:rsid w:val="6A6752FD"/>
    <w:rsid w:val="6AA67D9D"/>
    <w:rsid w:val="6B980FF5"/>
    <w:rsid w:val="6BD34BC2"/>
    <w:rsid w:val="6BE4292B"/>
    <w:rsid w:val="6C141316"/>
    <w:rsid w:val="6C392D7E"/>
    <w:rsid w:val="6C3D028D"/>
    <w:rsid w:val="6C5B57E4"/>
    <w:rsid w:val="6CB57E24"/>
    <w:rsid w:val="6DD10452"/>
    <w:rsid w:val="6E600263"/>
    <w:rsid w:val="6F004B64"/>
    <w:rsid w:val="6F0F3CEC"/>
    <w:rsid w:val="700F1F41"/>
    <w:rsid w:val="704D75A6"/>
    <w:rsid w:val="70C20C74"/>
    <w:rsid w:val="70F75A89"/>
    <w:rsid w:val="726F7C81"/>
    <w:rsid w:val="727147ED"/>
    <w:rsid w:val="727F33AE"/>
    <w:rsid w:val="732D4BB8"/>
    <w:rsid w:val="73464E0C"/>
    <w:rsid w:val="73D94061"/>
    <w:rsid w:val="73DB15E2"/>
    <w:rsid w:val="74746816"/>
    <w:rsid w:val="75C42D13"/>
    <w:rsid w:val="76065319"/>
    <w:rsid w:val="76FD7025"/>
    <w:rsid w:val="778B45A3"/>
    <w:rsid w:val="78747106"/>
    <w:rsid w:val="789E3E62"/>
    <w:rsid w:val="793655B4"/>
    <w:rsid w:val="7A3507F6"/>
    <w:rsid w:val="7B2E5971"/>
    <w:rsid w:val="7B6A670A"/>
    <w:rsid w:val="7D3134F6"/>
    <w:rsid w:val="7E3B3BD9"/>
    <w:rsid w:val="7E404A2E"/>
    <w:rsid w:val="7EF757C1"/>
    <w:rsid w:val="7FB12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Body Text First Indent 21"/>
    <w:basedOn w:val="1"/>
    <w:qFormat/>
    <w:uiPriority w:val="0"/>
    <w:pPr>
      <w:ind w:left="200" w:leftChars="200" w:firstLine="420"/>
    </w:pPr>
    <w:rPr>
      <w:rFonts w:ascii="仿宋_GB2312" w:eastAsia="仿宋_GB2312" w:cs="仿宋_GB2312"/>
      <w:szCs w:val="32"/>
    </w:rPr>
  </w:style>
  <w:style w:type="character" w:customStyle="1" w:styleId="9">
    <w:name w:val="页脚 字符"/>
    <w:basedOn w:val="7"/>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7622</Words>
  <Characters>8151</Characters>
  <Lines>59</Lines>
  <Paragraphs>16</Paragraphs>
  <TotalTime>1</TotalTime>
  <ScaleCrop>false</ScaleCrop>
  <LinksUpToDate>false</LinksUpToDate>
  <CharactersWithSpaces>8153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2025-07-08T01:38:00Z</dcterms:created>
  <dc:creator>gyf</dc:creator>
  <cp:lastModifiedBy>发改委--收发员(fgwsfy)</cp:lastModifiedBy>
  <cp:lastPrinted>2025-08-07T04:37:00Z</cp:lastPrinted>
  <dcterms:modified xsi:type="dcterms:W3CDTF">2025-09-01T08:46:03Z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3F7C498A836E4B04838CFC686FFF8CE2_13</vt:lpwstr>
  </property>
  <property fmtid="{D5CDD505-2E9C-101B-9397-08002B2CF9AE}" pid="4" name="KSOTemplateDocerSaveRecord">
    <vt:lpwstr>eyJoZGlkIjoiYTU2OTRjMjE0OGM1Mjc0YzQxYTQ4M2JmNzIzZjAyYTMiLCJ1c2VySWQiOiI1NzcxMjcyNDYifQ==</vt:lpwstr>
  </property>
</Properties>
</file>