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BA" w:rsidRPr="005F38BA" w:rsidRDefault="005F38BA" w:rsidP="005F38BA">
      <w:pPr>
        <w:widowControl/>
        <w:jc w:val="center"/>
        <w:rPr>
          <w:rFonts w:ascii="宋体" w:eastAsia="宋体" w:hAnsi="宋体" w:cs="宋体"/>
          <w:kern w:val="0"/>
          <w:sz w:val="24"/>
          <w:szCs w:val="24"/>
        </w:rPr>
      </w:pPr>
      <w:r w:rsidRPr="005F38BA">
        <w:rPr>
          <w:rFonts w:ascii="宋体" w:eastAsia="宋体" w:hAnsi="宋体" w:cs="宋体" w:hint="eastAsia"/>
          <w:b/>
          <w:bCs/>
          <w:color w:val="3D3D3D"/>
          <w:kern w:val="0"/>
          <w:sz w:val="37"/>
          <w:szCs w:val="37"/>
          <w:shd w:val="clear" w:color="auto" w:fill="FFFFFF"/>
        </w:rPr>
        <w:t>关于印发《南京市电力接入工程政企共担管理机制操作办法》的通知</w:t>
      </w:r>
    </w:p>
    <w:p w:rsidR="005F38BA" w:rsidRDefault="005F38BA" w:rsidP="005F38BA">
      <w:pPr>
        <w:widowControl/>
        <w:shd w:val="clear" w:color="auto" w:fill="FFFFFF"/>
        <w:spacing w:after="335"/>
        <w:jc w:val="center"/>
        <w:outlineLvl w:val="3"/>
        <w:rPr>
          <w:rFonts w:ascii="宋体" w:eastAsia="宋体" w:hAnsi="宋体" w:cs="宋体"/>
          <w:color w:val="3D3D3D"/>
          <w:kern w:val="0"/>
          <w:sz w:val="23"/>
          <w:szCs w:val="23"/>
        </w:rPr>
      </w:pPr>
    </w:p>
    <w:p w:rsidR="005F38BA" w:rsidRPr="005F38BA" w:rsidRDefault="005F38BA" w:rsidP="005F38BA">
      <w:pPr>
        <w:widowControl/>
        <w:shd w:val="clear" w:color="auto" w:fill="FFFFFF"/>
        <w:spacing w:after="335"/>
        <w:jc w:val="center"/>
        <w:outlineLvl w:val="3"/>
        <w:rPr>
          <w:rFonts w:ascii="宋体" w:eastAsia="宋体" w:hAnsi="宋体" w:cs="宋体"/>
          <w:color w:val="3D3D3D"/>
          <w:kern w:val="0"/>
          <w:sz w:val="23"/>
          <w:szCs w:val="23"/>
        </w:rPr>
      </w:pPr>
      <w:r w:rsidRPr="005F38BA">
        <w:rPr>
          <w:rFonts w:ascii="宋体" w:eastAsia="宋体" w:hAnsi="宋体" w:cs="宋体" w:hint="eastAsia"/>
          <w:color w:val="3D3D3D"/>
          <w:kern w:val="0"/>
          <w:sz w:val="23"/>
          <w:szCs w:val="23"/>
        </w:rPr>
        <w:t>宁发改价费字〔2025〕646号</w:t>
      </w:r>
    </w:p>
    <w:p w:rsidR="005F38BA" w:rsidRPr="005F38BA" w:rsidRDefault="005F38BA" w:rsidP="005F38BA">
      <w:pPr>
        <w:widowControl/>
        <w:shd w:val="clear" w:color="auto" w:fill="FFFFFF"/>
        <w:spacing w:line="420" w:lineRule="atLeast"/>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市、区各有关部门、单位：</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为推进用户建筑区划红线外电力接入工程政企共担机制规范化、制度化，</w:t>
      </w:r>
      <w:r w:rsidRPr="005F38BA">
        <w:rPr>
          <w:rFonts w:ascii="Arial" w:eastAsia="宋体" w:hAnsi="Arial" w:cs="Arial"/>
          <w:color w:val="111111"/>
          <w:kern w:val="0"/>
          <w:sz w:val="27"/>
          <w:szCs w:val="27"/>
        </w:rPr>
        <w:t>2022</w:t>
      </w:r>
      <w:r w:rsidRPr="005F38BA">
        <w:rPr>
          <w:rFonts w:ascii="Arial" w:eastAsia="宋体" w:hAnsi="Arial" w:cs="Arial"/>
          <w:color w:val="111111"/>
          <w:kern w:val="0"/>
          <w:sz w:val="27"/>
          <w:szCs w:val="27"/>
        </w:rPr>
        <w:t>年</w:t>
      </w: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月</w:t>
      </w:r>
      <w:r w:rsidRPr="005F38BA">
        <w:rPr>
          <w:rFonts w:ascii="Arial" w:eastAsia="宋体" w:hAnsi="Arial" w:cs="Arial"/>
          <w:color w:val="111111"/>
          <w:kern w:val="0"/>
          <w:sz w:val="27"/>
          <w:szCs w:val="27"/>
        </w:rPr>
        <w:t>18</w:t>
      </w:r>
      <w:r w:rsidRPr="005F38BA">
        <w:rPr>
          <w:rFonts w:ascii="Arial" w:eastAsia="宋体" w:hAnsi="Arial" w:cs="Arial"/>
          <w:color w:val="111111"/>
          <w:kern w:val="0"/>
          <w:sz w:val="27"/>
          <w:szCs w:val="27"/>
        </w:rPr>
        <w:t>日，市发改委、市财政局、市规划资源局、市建委联合制定《南京市电力接入工程政企共担管理机制操作办法（试行）》。根据试行情况，在征求相关部门意见后，我们对试行办法进行了修改完善，形成《南京市电力接入工程政企共担管理机制操作办法》，现印发给你们，请认真贯彻执行。</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（本页无正文）</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南京市发展和改革委员会</w:t>
      </w:r>
      <w:r>
        <w:rPr>
          <w:rFonts w:ascii="Arial" w:eastAsia="宋体" w:hAnsi="Arial" w:cs="Arial" w:hint="eastAsia"/>
          <w:color w:val="111111"/>
          <w:kern w:val="0"/>
          <w:sz w:val="27"/>
          <w:szCs w:val="27"/>
        </w:rPr>
        <w:t xml:space="preserve">           </w:t>
      </w:r>
      <w:r w:rsidRPr="005F38BA">
        <w:rPr>
          <w:rFonts w:ascii="Arial" w:eastAsia="宋体" w:hAnsi="Arial" w:cs="Arial"/>
          <w:color w:val="111111"/>
          <w:kern w:val="0"/>
          <w:sz w:val="27"/>
          <w:szCs w:val="27"/>
        </w:rPr>
        <w:t>南京市财政局</w:t>
      </w:r>
    </w:p>
    <w:p w:rsidR="005F38BA" w:rsidRPr="005F38BA" w:rsidRDefault="005F38BA" w:rsidP="005F38BA">
      <w:pPr>
        <w:widowControl/>
        <w:shd w:val="clear" w:color="auto" w:fill="FFFFFF"/>
        <w:spacing w:line="420" w:lineRule="atLeast"/>
        <w:ind w:firstLine="480"/>
        <w:rPr>
          <w:rFonts w:ascii="Arial" w:eastAsia="宋体" w:hAnsi="Arial" w:cs="Arial"/>
          <w:color w:val="111111"/>
          <w:kern w:val="0"/>
          <w:sz w:val="27"/>
          <w:szCs w:val="27"/>
        </w:rPr>
      </w:pPr>
    </w:p>
    <w:p w:rsidR="005F38BA" w:rsidRPr="005F38BA" w:rsidRDefault="005F38BA" w:rsidP="005F38BA">
      <w:pPr>
        <w:widowControl/>
        <w:shd w:val="clear" w:color="auto" w:fill="FFFFFF"/>
        <w:spacing w:line="420" w:lineRule="atLeast"/>
        <w:ind w:firstLineChars="150" w:firstLine="405"/>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南京市规划和自然资源局</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Pr>
          <w:rFonts w:ascii="Arial" w:eastAsia="宋体" w:hAnsi="Arial" w:cs="Arial"/>
          <w:color w:val="111111"/>
          <w:kern w:val="0"/>
          <w:sz w:val="27"/>
          <w:szCs w:val="27"/>
        </w:rPr>
        <w:t>南</w:t>
      </w:r>
      <w:r w:rsidRPr="005F38BA">
        <w:rPr>
          <w:rFonts w:ascii="Arial" w:eastAsia="宋体" w:hAnsi="Arial" w:cs="Arial"/>
          <w:color w:val="111111"/>
          <w:kern w:val="0"/>
          <w:sz w:val="27"/>
          <w:szCs w:val="27"/>
        </w:rPr>
        <w:t>京市城乡建设委员会</w:t>
      </w:r>
    </w:p>
    <w:p w:rsidR="005941E4" w:rsidRPr="005F38BA" w:rsidRDefault="005F38BA" w:rsidP="005941E4">
      <w:pPr>
        <w:widowControl/>
        <w:shd w:val="clear" w:color="auto" w:fill="FFFFFF"/>
        <w:spacing w:line="420" w:lineRule="atLeast"/>
        <w:ind w:right="540" w:firstLineChars="1850" w:firstLine="4995"/>
        <w:rPr>
          <w:rFonts w:ascii="Arial" w:eastAsia="宋体" w:hAnsi="Arial" w:cs="Arial"/>
          <w:color w:val="111111"/>
          <w:kern w:val="0"/>
          <w:sz w:val="27"/>
          <w:szCs w:val="27"/>
        </w:rPr>
      </w:pPr>
      <w:r w:rsidRPr="005F38BA">
        <w:rPr>
          <w:rFonts w:ascii="Arial" w:eastAsia="宋体" w:hAnsi="Arial" w:cs="Arial"/>
          <w:color w:val="111111"/>
          <w:kern w:val="0"/>
          <w:sz w:val="27"/>
          <w:szCs w:val="27"/>
        </w:rPr>
        <w:t>2025</w:t>
      </w:r>
      <w:r w:rsidR="005941E4" w:rsidRPr="005F38BA">
        <w:rPr>
          <w:rFonts w:ascii="Arial" w:eastAsia="宋体" w:hAnsi="Arial" w:cs="Arial"/>
          <w:color w:val="111111"/>
          <w:kern w:val="0"/>
          <w:sz w:val="27"/>
          <w:szCs w:val="27"/>
        </w:rPr>
        <w:t>年</w:t>
      </w:r>
      <w:r w:rsidR="005941E4" w:rsidRPr="005F38BA">
        <w:rPr>
          <w:rFonts w:ascii="Arial" w:eastAsia="宋体" w:hAnsi="Arial" w:cs="Arial"/>
          <w:color w:val="111111"/>
          <w:kern w:val="0"/>
          <w:sz w:val="27"/>
          <w:szCs w:val="27"/>
        </w:rPr>
        <w:t>8</w:t>
      </w:r>
      <w:r w:rsidR="005941E4" w:rsidRPr="005F38BA">
        <w:rPr>
          <w:rFonts w:ascii="Arial" w:eastAsia="宋体" w:hAnsi="Arial" w:cs="Arial"/>
          <w:color w:val="111111"/>
          <w:kern w:val="0"/>
          <w:sz w:val="27"/>
          <w:szCs w:val="27"/>
        </w:rPr>
        <w:t>月</w:t>
      </w:r>
      <w:r w:rsidR="005941E4" w:rsidRPr="005F38BA">
        <w:rPr>
          <w:rFonts w:ascii="Arial" w:eastAsia="宋体" w:hAnsi="Arial" w:cs="Arial"/>
          <w:color w:val="111111"/>
          <w:kern w:val="0"/>
          <w:sz w:val="27"/>
          <w:szCs w:val="27"/>
        </w:rPr>
        <w:t>25</w:t>
      </w:r>
      <w:r w:rsidR="005941E4" w:rsidRPr="005F38BA">
        <w:rPr>
          <w:rFonts w:ascii="Arial" w:eastAsia="宋体" w:hAnsi="Arial" w:cs="Arial"/>
          <w:color w:val="111111"/>
          <w:kern w:val="0"/>
          <w:sz w:val="27"/>
          <w:szCs w:val="27"/>
        </w:rPr>
        <w:t>日</w:t>
      </w:r>
    </w:p>
    <w:p w:rsidR="005F38BA" w:rsidRPr="005F38BA" w:rsidRDefault="005F38BA" w:rsidP="00DB3008">
      <w:pPr>
        <w:widowControl/>
        <w:shd w:val="clear" w:color="auto" w:fill="FFFFFF"/>
        <w:spacing w:line="420" w:lineRule="atLeast"/>
        <w:ind w:leftChars="2368" w:left="4973" w:right="540" w:firstLineChars="177" w:firstLine="478"/>
        <w:rPr>
          <w:rFonts w:ascii="Arial" w:eastAsia="宋体" w:hAnsi="Arial" w:cs="Arial"/>
          <w:color w:val="111111"/>
          <w:kern w:val="0"/>
          <w:sz w:val="27"/>
          <w:szCs w:val="27"/>
        </w:rPr>
      </w:pP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 </w:t>
      </w:r>
    </w:p>
    <w:p w:rsid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p>
    <w:p w:rsid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p>
    <w:p w:rsid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p>
    <w:p w:rsid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p>
    <w:p w:rsid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p>
    <w:p w:rsid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p>
    <w:p w:rsidR="00633E8C" w:rsidRDefault="00633E8C" w:rsidP="005F38BA">
      <w:pPr>
        <w:widowControl/>
        <w:shd w:val="clear" w:color="auto" w:fill="FFFFFF"/>
        <w:spacing w:line="420" w:lineRule="atLeast"/>
        <w:jc w:val="center"/>
        <w:rPr>
          <w:rFonts w:ascii="Arial" w:eastAsia="宋体" w:hAnsi="Arial" w:cs="Arial"/>
          <w:color w:val="111111"/>
          <w:kern w:val="0"/>
          <w:sz w:val="27"/>
          <w:szCs w:val="27"/>
        </w:rPr>
      </w:pPr>
    </w:p>
    <w:p w:rsidR="00633E8C" w:rsidRDefault="00633E8C" w:rsidP="005F38BA">
      <w:pPr>
        <w:widowControl/>
        <w:shd w:val="clear" w:color="auto" w:fill="FFFFFF"/>
        <w:spacing w:line="420" w:lineRule="atLeast"/>
        <w:jc w:val="center"/>
        <w:rPr>
          <w:rFonts w:ascii="Arial" w:eastAsia="宋体" w:hAnsi="Arial" w:cs="Arial"/>
          <w:color w:val="111111"/>
          <w:kern w:val="0"/>
          <w:sz w:val="27"/>
          <w:szCs w:val="27"/>
        </w:rPr>
      </w:pPr>
    </w:p>
    <w:p w:rsidR="005F38BA" w:rsidRPr="005F38BA" w:rsidRDefault="005F38BA" w:rsidP="005F38BA">
      <w:pPr>
        <w:widowControl/>
        <w:shd w:val="clear" w:color="auto" w:fill="FFFFFF"/>
        <w:spacing w:line="420" w:lineRule="atLeast"/>
        <w:jc w:val="center"/>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南京市电力接入工程政企共担管理机制操作办法</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第一章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总则</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第一条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为贯彻落实《省政府办公厅转发省发展改革委等部门关于清理规范城镇供水供电供气供暖行业收费促进行业高质量发展实施方案的通知》（苏政办发〔</w:t>
      </w:r>
      <w:r w:rsidRPr="005F38BA">
        <w:rPr>
          <w:rFonts w:ascii="Arial" w:eastAsia="宋体" w:hAnsi="Arial" w:cs="Arial"/>
          <w:color w:val="111111"/>
          <w:kern w:val="0"/>
          <w:sz w:val="27"/>
          <w:szCs w:val="27"/>
        </w:rPr>
        <w:t>2021</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55</w:t>
      </w:r>
      <w:r w:rsidRPr="005F38BA">
        <w:rPr>
          <w:rFonts w:ascii="Arial" w:eastAsia="宋体" w:hAnsi="Arial" w:cs="Arial"/>
          <w:color w:val="111111"/>
          <w:kern w:val="0"/>
          <w:sz w:val="27"/>
          <w:szCs w:val="27"/>
        </w:rPr>
        <w:t>号）、《市政府办公厅转发市发改委等部门关于清理规范城镇供水供电供气供暖行业收费促进行业高质量发展实施细则的通知》（宁政办发〔</w:t>
      </w:r>
      <w:r w:rsidRPr="005F38BA">
        <w:rPr>
          <w:rFonts w:ascii="Arial" w:eastAsia="宋体" w:hAnsi="Arial" w:cs="Arial"/>
          <w:color w:val="111111"/>
          <w:kern w:val="0"/>
          <w:sz w:val="27"/>
          <w:szCs w:val="27"/>
        </w:rPr>
        <w:t>2021</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69</w:t>
      </w:r>
      <w:r w:rsidRPr="005F38BA">
        <w:rPr>
          <w:rFonts w:ascii="Arial" w:eastAsia="宋体" w:hAnsi="Arial" w:cs="Arial"/>
          <w:color w:val="111111"/>
          <w:kern w:val="0"/>
          <w:sz w:val="27"/>
          <w:szCs w:val="27"/>
        </w:rPr>
        <w:t>号）要求，推进用户建筑区划红线外电力接入工程政企共担机制规范化、制度化，进一步优化电力营商环境，制定本操作办法。</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第二条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本操作办法适用于南京市城镇规划建设用地范围内，</w:t>
      </w:r>
      <w:r w:rsidRPr="005F38BA">
        <w:rPr>
          <w:rFonts w:ascii="Arial" w:eastAsia="宋体" w:hAnsi="Arial" w:cs="Arial"/>
          <w:color w:val="111111"/>
          <w:kern w:val="0"/>
          <w:sz w:val="27"/>
          <w:szCs w:val="27"/>
        </w:rPr>
        <w:t>2021</w:t>
      </w:r>
      <w:r w:rsidRPr="005F38BA">
        <w:rPr>
          <w:rFonts w:ascii="Arial" w:eastAsia="宋体" w:hAnsi="Arial" w:cs="Arial"/>
          <w:color w:val="111111"/>
          <w:kern w:val="0"/>
          <w:sz w:val="27"/>
          <w:szCs w:val="27"/>
        </w:rPr>
        <w:t>年</w:t>
      </w: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月</w:t>
      </w: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日后通过出让或划拨等方式取得土地使用权的项目，供电企业的投资界面应延伸至建筑区划红线，除法律法规和相关政策另有规定外，不得由用户承担建筑区划红线外发生的任何费用。实际操作中建筑区划红线以用地红线为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第三条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电力接入工程是指从用户建筑区划红线连接至公共管网发生的入网工程，不包含用户提出的超标准供应或个性化需求的延伸服务。</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第二章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工作原则</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第四条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按照</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政企共担、规范运作</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的原则，建立政府、供电企业共担电力接入工程建设费用的管理机制，落实国家、省政府关于延伸投资界面的相关规定，进一步明确政府、供电企业、用户三方的权责界面，以用户用电需求为导向，推行政府、供电企业、用户三方高效协同的电力接入服务机制，打造一流电力营商环境。</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第三章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投资界面</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第五条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低压小微企业、</w:t>
      </w:r>
      <w:r w:rsidRPr="005F38BA">
        <w:rPr>
          <w:rFonts w:ascii="Arial" w:eastAsia="宋体" w:hAnsi="Arial" w:cs="Arial"/>
          <w:color w:val="111111"/>
          <w:kern w:val="0"/>
          <w:sz w:val="27"/>
          <w:szCs w:val="27"/>
        </w:rPr>
        <w:t>160</w:t>
      </w:r>
      <w:r w:rsidRPr="005F38BA">
        <w:rPr>
          <w:rFonts w:ascii="Arial" w:eastAsia="宋体" w:hAnsi="Arial" w:cs="Arial"/>
          <w:color w:val="111111"/>
          <w:kern w:val="0"/>
          <w:sz w:val="27"/>
          <w:szCs w:val="27"/>
        </w:rPr>
        <w:t>千瓦及以下各类民营经济组织电力接入工程由供电企业承担投资建设。供电企业投资建设的电力接入工程范围为公共管网至用户建筑区划红线内的电能计量箱，以计量箱出线开关下桩头为产权分界点。</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第六条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新建居住区电力接入工程，涉及土地运作的由土地运作主体承担投资建设，不涉及土地运作的由属地区政府承担投资建设。新建居住区电力接入工程的范围为公共管网至居住区建筑区划红线。</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第七条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其他电力用户接入工程，电气工程由供电企业承担投资建设；土建工程，涉及土地运作的由土地运作主体投资建设，不涉及土地运作的由属地区政府投资建设。其中，电气工程包括供电电源的确定、不同电压等级用户接入方式、配电所及环网柜接线方式、设备选型等；土建工程</w:t>
      </w:r>
      <w:bookmarkStart w:id="0" w:name="_Hlk87103749"/>
      <w:r w:rsidRPr="005F38BA">
        <w:rPr>
          <w:rFonts w:ascii="Arial" w:eastAsia="宋体" w:hAnsi="Arial" w:cs="Arial"/>
          <w:color w:val="000000"/>
          <w:kern w:val="0"/>
          <w:sz w:val="27"/>
          <w:szCs w:val="27"/>
        </w:rPr>
        <w:t>包括项目用电所需的线路通道、电缆管沟廊道、设备及杆塔土建基础等市政配套基础设施的建设及管孔占用。</w:t>
      </w:r>
      <w:bookmarkEnd w:id="0"/>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园区用户以园区建筑区划红线内、用户建筑控制线外线路接入杆塔、分支箱、环网柜、开关站等公用设备的连接点为产权分界点；其他用户以用户建筑区划红线内线路接入公共开关站的连接点为产权分界点，或规划批准的建筑区划红线外线路接入杆塔、分支箱、环网柜、开关站等公用设备的连接点为产权分界点。</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第八条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居住、商业等混合用地的电力用户接入工程，电力接入工程按土地性质不同，区分建设主体分别建设，按照上述条款实施。</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第四章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资金管理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第九条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电力接入工程由政府（包括土地运作主体）承担的部分由属地区政府和土地运作主体按照政府投资项目管理要求组织实施。工程完工后，要及时进行决算，行政主管部门对本部门组织的竣工决（结）算项目审计的审计结果审核确认后，报审计部门备案。</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由政府承担的电力接入工程资金按以下方式管理：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2021</w:t>
      </w:r>
      <w:r w:rsidRPr="005F38BA">
        <w:rPr>
          <w:rFonts w:ascii="Arial" w:eastAsia="宋体" w:hAnsi="Arial" w:cs="Arial"/>
          <w:color w:val="111111"/>
          <w:kern w:val="0"/>
          <w:sz w:val="27"/>
          <w:szCs w:val="27"/>
        </w:rPr>
        <w:t>年</w:t>
      </w: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月</w:t>
      </w: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日以后尚未实施的电力接入工程，供电企业在收到《地块电力接入计划》申请后一个月内制定电源方案。由市、区项目投资立项主管部门负责办理立项，项目单位于每年</w:t>
      </w:r>
      <w:r w:rsidRPr="005F38BA">
        <w:rPr>
          <w:rFonts w:ascii="Arial" w:eastAsia="宋体" w:hAnsi="Arial" w:cs="Arial"/>
          <w:color w:val="111111"/>
          <w:kern w:val="0"/>
          <w:sz w:val="27"/>
          <w:szCs w:val="27"/>
        </w:rPr>
        <w:t>10</w:t>
      </w:r>
      <w:r w:rsidRPr="005F38BA">
        <w:rPr>
          <w:rFonts w:ascii="Arial" w:eastAsia="宋体" w:hAnsi="Arial" w:cs="Arial"/>
          <w:color w:val="111111"/>
          <w:kern w:val="0"/>
          <w:sz w:val="27"/>
          <w:szCs w:val="27"/>
        </w:rPr>
        <w:t>月底前完成立项批复或概算核定后，纳入本级次年政府投资计划，编制项目预算，按规定拨付资金。涉及地块配套道路建设同步需完成电力接入工程的项目，由市级部门、各区政府（园区管委会）及土地运作主体以道路建设项目向市建委申报纳入市城建计划，按照年度城建目标管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2021</w:t>
      </w:r>
      <w:r w:rsidRPr="005F38BA">
        <w:rPr>
          <w:rFonts w:ascii="Arial" w:eastAsia="宋体" w:hAnsi="Arial" w:cs="Arial"/>
          <w:color w:val="111111"/>
          <w:kern w:val="0"/>
          <w:sz w:val="27"/>
          <w:szCs w:val="27"/>
        </w:rPr>
        <w:t>年</w:t>
      </w: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月</w:t>
      </w: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日以后已发生的、应由政府承担部分，经审计部门审计或备案后，由应承担的主体（属地区政府或土地运作主体）安排相关费用。</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第十一条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供电企业承担的电力接入工程费用，由供电企业自行筹措资金解决。供电企业要发挥行业和专业优势，加强工程建设进度、质量、安全等全过程管控。</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第十二条</w:t>
      </w:r>
      <w:r w:rsidRPr="005F38BA">
        <w:rPr>
          <w:rFonts w:ascii="Arial" w:eastAsia="宋体" w:hAnsi="Arial" w:cs="Arial"/>
          <w:color w:val="111111"/>
          <w:kern w:val="0"/>
          <w:sz w:val="27"/>
          <w:szCs w:val="27"/>
        </w:rPr>
        <w:t> 2021</w:t>
      </w:r>
      <w:r w:rsidRPr="005F38BA">
        <w:rPr>
          <w:rFonts w:ascii="Arial" w:eastAsia="宋体" w:hAnsi="Arial" w:cs="Arial"/>
          <w:color w:val="111111"/>
          <w:kern w:val="0"/>
          <w:sz w:val="27"/>
          <w:szCs w:val="27"/>
        </w:rPr>
        <w:t>年</w:t>
      </w: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月</w:t>
      </w: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日以后未纳入年度资金预算或土地已出让、尚未实施的电力接入工程项目，属地区政府和土地运作主体应增补立项批复或概算核定手续后，视财力情况，按规定调整年度政府投资计划和项目预算，统筹做好资金安排。</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第五章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实施流程</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第十三条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低压小微企业、</w:t>
      </w:r>
      <w:r w:rsidRPr="005F38BA">
        <w:rPr>
          <w:rFonts w:ascii="Arial" w:eastAsia="宋体" w:hAnsi="Arial" w:cs="Arial"/>
          <w:color w:val="111111"/>
          <w:kern w:val="0"/>
          <w:sz w:val="27"/>
          <w:szCs w:val="27"/>
        </w:rPr>
        <w:t>160</w:t>
      </w:r>
      <w:r w:rsidRPr="005F38BA">
        <w:rPr>
          <w:rFonts w:ascii="Arial" w:eastAsia="宋体" w:hAnsi="Arial" w:cs="Arial"/>
          <w:color w:val="111111"/>
          <w:kern w:val="0"/>
          <w:sz w:val="27"/>
          <w:szCs w:val="27"/>
        </w:rPr>
        <w:t>千瓦及以下各类民营经济组织电力接入工程</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低压小微企业、</w:t>
      </w:r>
      <w:r w:rsidRPr="005F38BA">
        <w:rPr>
          <w:rFonts w:ascii="Arial" w:eastAsia="宋体" w:hAnsi="Arial" w:cs="Arial"/>
          <w:color w:val="111111"/>
          <w:kern w:val="0"/>
          <w:sz w:val="27"/>
          <w:szCs w:val="27"/>
        </w:rPr>
        <w:t>160</w:t>
      </w:r>
      <w:r w:rsidRPr="005F38BA">
        <w:rPr>
          <w:rFonts w:ascii="Arial" w:eastAsia="宋体" w:hAnsi="Arial" w:cs="Arial"/>
          <w:color w:val="111111"/>
          <w:kern w:val="0"/>
          <w:sz w:val="27"/>
          <w:szCs w:val="27"/>
        </w:rPr>
        <w:t>千瓦及以下各类民营经济组织向供电企业申请用电。</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2.</w:t>
      </w:r>
      <w:r w:rsidRPr="005F38BA">
        <w:rPr>
          <w:rFonts w:ascii="Arial" w:eastAsia="宋体" w:hAnsi="Arial" w:cs="Arial"/>
          <w:color w:val="111111"/>
          <w:kern w:val="0"/>
          <w:sz w:val="27"/>
          <w:szCs w:val="27"/>
        </w:rPr>
        <w:t>供电企业按有关规定委托有相关资质的施工单位开展土建、电气工程建设。</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供电企业对低压小微企业、</w:t>
      </w:r>
      <w:r w:rsidRPr="005F38BA">
        <w:rPr>
          <w:rFonts w:ascii="Arial" w:eastAsia="宋体" w:hAnsi="Arial" w:cs="Arial"/>
          <w:color w:val="111111"/>
          <w:kern w:val="0"/>
          <w:sz w:val="27"/>
          <w:szCs w:val="27"/>
        </w:rPr>
        <w:t>160</w:t>
      </w:r>
      <w:r w:rsidRPr="005F38BA">
        <w:rPr>
          <w:rFonts w:ascii="Arial" w:eastAsia="宋体" w:hAnsi="Arial" w:cs="Arial"/>
          <w:color w:val="111111"/>
          <w:kern w:val="0"/>
          <w:sz w:val="27"/>
          <w:szCs w:val="27"/>
        </w:rPr>
        <w:t>千瓦及以下各类民营经济组织接入工程建设进行全过程质量监督，验收合格后供电企业负责接入工程的投运。</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第十四条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除低压小微企业、</w:t>
      </w:r>
      <w:r w:rsidRPr="005F38BA">
        <w:rPr>
          <w:rFonts w:ascii="Arial" w:eastAsia="宋体" w:hAnsi="Arial" w:cs="Arial"/>
          <w:color w:val="111111"/>
          <w:kern w:val="0"/>
          <w:sz w:val="27"/>
          <w:szCs w:val="27"/>
        </w:rPr>
        <w:t>160</w:t>
      </w:r>
      <w:r w:rsidRPr="005F38BA">
        <w:rPr>
          <w:rFonts w:ascii="Arial" w:eastAsia="宋体" w:hAnsi="Arial" w:cs="Arial"/>
          <w:color w:val="111111"/>
          <w:kern w:val="0"/>
          <w:sz w:val="27"/>
          <w:szCs w:val="27"/>
        </w:rPr>
        <w:t>千瓦及以下各类民营经济组织以外的电力接入工程</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各区政府（园区管委会）及土地运作主体应及时与供电企业对接申请电力接入建设，并按政府要求委托有相关资质的建设单位开展土建、电气工程建设。</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bookmarkStart w:id="1" w:name="_Hlk92270136"/>
      <w:r w:rsidRPr="005F38BA">
        <w:rPr>
          <w:rFonts w:ascii="Arial" w:eastAsia="宋体" w:hAnsi="Arial" w:cs="Arial"/>
          <w:color w:val="000000"/>
          <w:kern w:val="0"/>
          <w:sz w:val="27"/>
          <w:szCs w:val="27"/>
        </w:rPr>
        <w:t>2.</w:t>
      </w:r>
      <w:bookmarkEnd w:id="1"/>
      <w:r w:rsidRPr="005F38BA">
        <w:rPr>
          <w:rFonts w:ascii="Arial" w:eastAsia="宋体" w:hAnsi="Arial" w:cs="Arial"/>
          <w:color w:val="111111"/>
          <w:kern w:val="0"/>
          <w:sz w:val="27"/>
          <w:szCs w:val="27"/>
        </w:rPr>
        <w:t>建设单位办理路径相关规划手续，委托有相关资质的设计单位开展土建、电气设计。设计完成后，建设单位将设计资料提交供电企业评审。政府部门共同参与供电企业评审，形成联动，把关建设单位的供电设计。</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电力接入工程设计经供电企业评审通过并出具书面评审意见后，建设单位委托有相关资质的施工、监理单位开展土建、电气工程实施。供电企业做好工程施工、质量、安全和信用等管理。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4.</w:t>
      </w:r>
      <w:r w:rsidRPr="005F38BA">
        <w:rPr>
          <w:rFonts w:ascii="Arial" w:eastAsia="宋体" w:hAnsi="Arial" w:cs="Arial"/>
          <w:color w:val="111111"/>
          <w:kern w:val="0"/>
          <w:sz w:val="27"/>
          <w:szCs w:val="27"/>
        </w:rPr>
        <w:t>建设单位在实施前向供电企业提交开工备案资料（包括但不限于施工、监理单位资质及进网作业许可等资料）。</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5.</w:t>
      </w:r>
      <w:r w:rsidRPr="005F38BA">
        <w:rPr>
          <w:rFonts w:ascii="Arial" w:eastAsia="宋体" w:hAnsi="Arial" w:cs="Arial"/>
          <w:color w:val="111111"/>
          <w:kern w:val="0"/>
          <w:sz w:val="27"/>
          <w:szCs w:val="27"/>
        </w:rPr>
        <w:t>建设单位需根据供电企业的节点要求在建设过程中提交开工前交底、中间检查和竣工验收申请资料（含监理资料）。</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6.</w:t>
      </w:r>
      <w:r w:rsidRPr="005F38BA">
        <w:rPr>
          <w:rFonts w:ascii="Arial" w:eastAsia="宋体" w:hAnsi="Arial" w:cs="Arial"/>
          <w:color w:val="111111"/>
          <w:kern w:val="0"/>
          <w:sz w:val="27"/>
          <w:szCs w:val="27"/>
        </w:rPr>
        <w:t>新建居住区内部工程应满足供电企业验收标准，验收合格后方可并网投运，并与供电企业签订资产移交协议，无偿移交供电企业进行运行维护。</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7.</w:t>
      </w:r>
      <w:r w:rsidRPr="005F38BA">
        <w:rPr>
          <w:rFonts w:ascii="Arial" w:eastAsia="宋体" w:hAnsi="Arial" w:cs="Arial"/>
          <w:color w:val="111111"/>
          <w:kern w:val="0"/>
          <w:sz w:val="27"/>
          <w:szCs w:val="27"/>
        </w:rPr>
        <w:t>供电企业对新建居住区电力接入工程建设进行全过程质量监督，验收合格后供电企业负责接入工程的投运。</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第六章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建设标准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第十五条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电力接入工程应按照国家、行业、地方相关技术标准和规范实施。包括但不限于：</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66kV</w:t>
      </w:r>
      <w:r w:rsidRPr="005F38BA">
        <w:rPr>
          <w:rFonts w:ascii="Arial" w:eastAsia="宋体" w:hAnsi="Arial" w:cs="Arial"/>
          <w:color w:val="111111"/>
          <w:kern w:val="0"/>
          <w:sz w:val="27"/>
          <w:szCs w:val="27"/>
        </w:rPr>
        <w:t>及以下架空电力线路设计标准》（</w:t>
      </w:r>
      <w:r w:rsidRPr="005F38BA">
        <w:rPr>
          <w:rFonts w:ascii="Arial" w:eastAsia="宋体" w:hAnsi="Arial" w:cs="Arial"/>
          <w:color w:val="111111"/>
          <w:kern w:val="0"/>
          <w:sz w:val="27"/>
          <w:szCs w:val="27"/>
        </w:rPr>
        <w:t>GB 50061-2010</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2025</w:t>
      </w:r>
      <w:r w:rsidRPr="005F38BA">
        <w:rPr>
          <w:rFonts w:ascii="Arial" w:eastAsia="宋体" w:hAnsi="Arial" w:cs="Arial"/>
          <w:color w:val="111111"/>
          <w:kern w:val="0"/>
          <w:sz w:val="27"/>
          <w:szCs w:val="27"/>
        </w:rPr>
        <w:t>年修订）</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2.</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110kV-750kV</w:t>
      </w:r>
      <w:r w:rsidRPr="005F38BA">
        <w:rPr>
          <w:rFonts w:ascii="Arial" w:eastAsia="宋体" w:hAnsi="Arial" w:cs="Arial"/>
          <w:color w:val="111111"/>
          <w:kern w:val="0"/>
          <w:sz w:val="27"/>
          <w:szCs w:val="27"/>
        </w:rPr>
        <w:t>架空输电线路设计规范》（</w:t>
      </w:r>
      <w:r w:rsidRPr="005F38BA">
        <w:rPr>
          <w:rFonts w:ascii="Arial" w:eastAsia="宋体" w:hAnsi="Arial" w:cs="Arial"/>
          <w:color w:val="111111"/>
          <w:kern w:val="0"/>
          <w:sz w:val="27"/>
          <w:szCs w:val="27"/>
        </w:rPr>
        <w:t>GB 50545-2010</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3.</w:t>
      </w:r>
      <w:r w:rsidRPr="005F38BA">
        <w:rPr>
          <w:rFonts w:ascii="Arial" w:eastAsia="宋体" w:hAnsi="Arial" w:cs="Arial"/>
          <w:color w:val="111111"/>
          <w:kern w:val="0"/>
          <w:sz w:val="27"/>
          <w:szCs w:val="27"/>
        </w:rPr>
        <w:t>《电力工程电缆设计标准》（</w:t>
      </w:r>
      <w:r w:rsidRPr="005F38BA">
        <w:rPr>
          <w:rFonts w:ascii="Arial" w:eastAsia="宋体" w:hAnsi="Arial" w:cs="Arial"/>
          <w:color w:val="111111"/>
          <w:kern w:val="0"/>
          <w:sz w:val="27"/>
          <w:szCs w:val="27"/>
        </w:rPr>
        <w:t>GB 50217-2018</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4.</w:t>
      </w:r>
      <w:r w:rsidRPr="005F38BA">
        <w:rPr>
          <w:rFonts w:ascii="Arial" w:eastAsia="宋体" w:hAnsi="Arial" w:cs="Arial"/>
          <w:color w:val="111111"/>
          <w:kern w:val="0"/>
          <w:sz w:val="27"/>
          <w:szCs w:val="27"/>
        </w:rPr>
        <w:t>《交流电气装置的过电压保护和绝缘配合设计规范》（</w:t>
      </w:r>
      <w:r w:rsidRPr="005F38BA">
        <w:rPr>
          <w:rFonts w:ascii="Arial" w:eastAsia="宋体" w:hAnsi="Arial" w:cs="Arial"/>
          <w:color w:val="111111"/>
          <w:kern w:val="0"/>
          <w:sz w:val="27"/>
          <w:szCs w:val="27"/>
        </w:rPr>
        <w:t>GB/T 50064-2014</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5.</w:t>
      </w:r>
      <w:r w:rsidRPr="005F38BA">
        <w:rPr>
          <w:rFonts w:ascii="Arial" w:eastAsia="宋体" w:hAnsi="Arial" w:cs="Arial"/>
          <w:color w:val="111111"/>
          <w:kern w:val="0"/>
          <w:sz w:val="27"/>
          <w:szCs w:val="27"/>
        </w:rPr>
        <w:t>《架空输电线路杆塔结构设计技术规程》（</w:t>
      </w:r>
      <w:r w:rsidRPr="005F38BA">
        <w:rPr>
          <w:rFonts w:ascii="Arial" w:eastAsia="宋体" w:hAnsi="Arial" w:cs="Arial"/>
          <w:color w:val="111111"/>
          <w:kern w:val="0"/>
          <w:sz w:val="27"/>
          <w:szCs w:val="27"/>
        </w:rPr>
        <w:t>DL/T 5486-2020</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6.</w:t>
      </w:r>
      <w:r w:rsidRPr="005F38BA">
        <w:rPr>
          <w:rFonts w:ascii="Arial" w:eastAsia="宋体" w:hAnsi="Arial" w:cs="Arial"/>
          <w:color w:val="111111"/>
          <w:kern w:val="0"/>
          <w:sz w:val="27"/>
          <w:szCs w:val="27"/>
        </w:rPr>
        <w:t>《架空输电线路基础设计规程》（</w:t>
      </w:r>
      <w:r w:rsidRPr="005F38BA">
        <w:rPr>
          <w:rFonts w:ascii="Arial" w:eastAsia="宋体" w:hAnsi="Arial" w:cs="Arial"/>
          <w:color w:val="111111"/>
          <w:kern w:val="0"/>
          <w:sz w:val="27"/>
          <w:szCs w:val="27"/>
        </w:rPr>
        <w:t>DL/T 5219-2023</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7.</w:t>
      </w:r>
      <w:r w:rsidRPr="005F38BA">
        <w:rPr>
          <w:rFonts w:ascii="Arial" w:eastAsia="宋体" w:hAnsi="Arial" w:cs="Arial"/>
          <w:color w:val="111111"/>
          <w:kern w:val="0"/>
          <w:sz w:val="27"/>
          <w:szCs w:val="27"/>
        </w:rPr>
        <w:t>《城市电力电缆线路设计技术规定》（</w:t>
      </w:r>
      <w:r w:rsidRPr="005F38BA">
        <w:rPr>
          <w:rFonts w:ascii="Arial" w:eastAsia="宋体" w:hAnsi="Arial" w:cs="Arial"/>
          <w:color w:val="111111"/>
          <w:kern w:val="0"/>
          <w:sz w:val="27"/>
          <w:szCs w:val="27"/>
        </w:rPr>
        <w:t>DL/T 5221-2016</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8.</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110kV-750kV</w:t>
      </w:r>
      <w:r w:rsidRPr="005F38BA">
        <w:rPr>
          <w:rFonts w:ascii="Arial" w:eastAsia="宋体" w:hAnsi="Arial" w:cs="Arial"/>
          <w:color w:val="111111"/>
          <w:kern w:val="0"/>
          <w:sz w:val="27"/>
          <w:szCs w:val="27"/>
        </w:rPr>
        <w:t>架空输电线路施工及验收规范》（</w:t>
      </w:r>
      <w:r w:rsidRPr="005F38BA">
        <w:rPr>
          <w:rFonts w:ascii="Arial" w:eastAsia="宋体" w:hAnsi="Arial" w:cs="Arial"/>
          <w:color w:val="111111"/>
          <w:kern w:val="0"/>
          <w:sz w:val="27"/>
          <w:szCs w:val="27"/>
        </w:rPr>
        <w:t>GB 50233-2014</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9.</w:t>
      </w:r>
      <w:r w:rsidRPr="005F38BA">
        <w:rPr>
          <w:rFonts w:ascii="Arial" w:eastAsia="宋体" w:hAnsi="Arial" w:cs="Arial"/>
          <w:color w:val="111111"/>
          <w:kern w:val="0"/>
          <w:sz w:val="27"/>
          <w:szCs w:val="27"/>
        </w:rPr>
        <w:t>《电气装置安装工程</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电缆线路施工及验收标准》（</w:t>
      </w:r>
      <w:r w:rsidRPr="005F38BA">
        <w:rPr>
          <w:rFonts w:ascii="Arial" w:eastAsia="宋体" w:hAnsi="Arial" w:cs="Arial"/>
          <w:color w:val="111111"/>
          <w:kern w:val="0"/>
          <w:sz w:val="27"/>
          <w:szCs w:val="27"/>
        </w:rPr>
        <w:t>GB 50168-2018</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10.</w:t>
      </w:r>
      <w:r w:rsidRPr="005F38BA">
        <w:rPr>
          <w:rFonts w:ascii="Arial" w:eastAsia="宋体" w:hAnsi="Arial" w:cs="Arial"/>
          <w:color w:val="111111"/>
          <w:kern w:val="0"/>
          <w:sz w:val="27"/>
          <w:szCs w:val="27"/>
        </w:rPr>
        <w:t>《电气装置安装工程</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接地装置施工及验收规范》（</w:t>
      </w:r>
      <w:r w:rsidRPr="005F38BA">
        <w:rPr>
          <w:rFonts w:ascii="Arial" w:eastAsia="宋体" w:hAnsi="Arial" w:cs="Arial"/>
          <w:color w:val="111111"/>
          <w:kern w:val="0"/>
          <w:sz w:val="27"/>
          <w:szCs w:val="27"/>
        </w:rPr>
        <w:t>GB 50169-2016</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11.</w:t>
      </w:r>
      <w:r w:rsidRPr="005F38BA">
        <w:rPr>
          <w:rFonts w:ascii="Arial" w:eastAsia="宋体" w:hAnsi="Arial" w:cs="Arial"/>
          <w:color w:val="111111"/>
          <w:kern w:val="0"/>
          <w:sz w:val="27"/>
          <w:szCs w:val="27"/>
        </w:rPr>
        <w:t>《电力工程地基处理技术规程》（</w:t>
      </w:r>
      <w:r w:rsidRPr="005F38BA">
        <w:rPr>
          <w:rFonts w:ascii="Arial" w:eastAsia="宋体" w:hAnsi="Arial" w:cs="Arial"/>
          <w:color w:val="111111"/>
          <w:kern w:val="0"/>
          <w:sz w:val="27"/>
          <w:szCs w:val="27"/>
        </w:rPr>
        <w:t>DL/T 5024-2005</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12.</w:t>
      </w:r>
      <w:r w:rsidRPr="005F38BA">
        <w:rPr>
          <w:rFonts w:ascii="Arial" w:eastAsia="宋体" w:hAnsi="Arial" w:cs="Arial"/>
          <w:color w:val="111111"/>
          <w:kern w:val="0"/>
          <w:sz w:val="27"/>
          <w:szCs w:val="27"/>
        </w:rPr>
        <w:t>《电力用户业扩报装技术规范》（</w:t>
      </w:r>
      <w:r w:rsidRPr="005F38BA">
        <w:rPr>
          <w:rFonts w:ascii="Arial" w:eastAsia="宋体" w:hAnsi="Arial" w:cs="Arial"/>
          <w:color w:val="111111"/>
          <w:kern w:val="0"/>
          <w:sz w:val="27"/>
          <w:szCs w:val="27"/>
        </w:rPr>
        <w:t>DL/T 1917-2018</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13.</w:t>
      </w:r>
      <w:r w:rsidRPr="005F38BA">
        <w:rPr>
          <w:rFonts w:ascii="Arial" w:eastAsia="宋体" w:hAnsi="Arial" w:cs="Arial"/>
          <w:color w:val="111111"/>
          <w:kern w:val="0"/>
          <w:sz w:val="27"/>
          <w:szCs w:val="27"/>
        </w:rPr>
        <w:t>《居住区供配电设施建设标准》（</w:t>
      </w:r>
      <w:r w:rsidRPr="005F38BA">
        <w:rPr>
          <w:rFonts w:ascii="Arial" w:eastAsia="宋体" w:hAnsi="Arial" w:cs="Arial"/>
          <w:color w:val="111111"/>
          <w:kern w:val="0"/>
          <w:sz w:val="27"/>
          <w:szCs w:val="27"/>
        </w:rPr>
        <w:t>DB32/T 4878-2024</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14.</w:t>
      </w:r>
      <w:r w:rsidRPr="005F38BA">
        <w:rPr>
          <w:rFonts w:ascii="Arial" w:eastAsia="宋体" w:hAnsi="Arial" w:cs="Arial"/>
          <w:color w:val="111111"/>
          <w:kern w:val="0"/>
          <w:sz w:val="27"/>
          <w:szCs w:val="27"/>
        </w:rPr>
        <w:t>《居住区供配电设施施工及验收标准》（</w:t>
      </w:r>
      <w:r w:rsidRPr="005F38BA">
        <w:rPr>
          <w:rFonts w:ascii="Arial" w:eastAsia="宋体" w:hAnsi="Arial" w:cs="Arial"/>
          <w:color w:val="111111"/>
          <w:kern w:val="0"/>
          <w:sz w:val="27"/>
          <w:szCs w:val="27"/>
        </w:rPr>
        <w:t>DB32/T 3963-2020</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15.</w:t>
      </w:r>
      <w:r w:rsidRPr="005F38BA">
        <w:rPr>
          <w:rFonts w:ascii="Arial" w:eastAsia="宋体" w:hAnsi="Arial" w:cs="Arial"/>
          <w:color w:val="111111"/>
          <w:kern w:val="0"/>
          <w:sz w:val="27"/>
          <w:szCs w:val="27"/>
        </w:rPr>
        <w:t>《配电网施工检修工艺规范》（</w:t>
      </w:r>
      <w:r w:rsidRPr="005F38BA">
        <w:rPr>
          <w:rFonts w:ascii="Arial" w:eastAsia="宋体" w:hAnsi="Arial" w:cs="Arial"/>
          <w:color w:val="111111"/>
          <w:kern w:val="0"/>
          <w:sz w:val="27"/>
          <w:szCs w:val="27"/>
        </w:rPr>
        <w:t>Q/GDW 10742-2016</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16.</w:t>
      </w:r>
      <w:r w:rsidRPr="005F38BA">
        <w:rPr>
          <w:rFonts w:ascii="Arial" w:eastAsia="宋体" w:hAnsi="Arial" w:cs="Arial"/>
          <w:color w:val="111111"/>
          <w:kern w:val="0"/>
          <w:sz w:val="27"/>
          <w:szCs w:val="27"/>
        </w:rPr>
        <w:t>《配电网技术导则》（</w:t>
      </w:r>
      <w:r w:rsidRPr="005F38BA">
        <w:rPr>
          <w:rFonts w:ascii="Arial" w:eastAsia="宋体" w:hAnsi="Arial" w:cs="Arial"/>
          <w:color w:val="111111"/>
          <w:kern w:val="0"/>
          <w:sz w:val="27"/>
          <w:szCs w:val="27"/>
        </w:rPr>
        <w:t>Q/GDW 10370-2016</w:t>
      </w:r>
      <w:r w:rsidRPr="005F38BA">
        <w:rPr>
          <w:rFonts w:ascii="Arial" w:eastAsia="宋体" w:hAnsi="Arial" w:cs="Arial"/>
          <w:color w:val="111111"/>
          <w:kern w:val="0"/>
          <w:sz w:val="27"/>
          <w:szCs w:val="27"/>
        </w:rPr>
        <w:t>）</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第十六条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设计深度应达到以下标准：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1.</w:t>
      </w:r>
      <w:r w:rsidRPr="005F38BA">
        <w:rPr>
          <w:rFonts w:ascii="Arial" w:eastAsia="宋体" w:hAnsi="Arial" w:cs="Arial"/>
          <w:color w:val="111111"/>
          <w:kern w:val="0"/>
          <w:sz w:val="27"/>
          <w:szCs w:val="27"/>
        </w:rPr>
        <w:t>架空配电线路设计施工图纸应包含设计说明书、平面路径图、电气接线图、杆型装配图、特殊杆塔基础图、接地装置图、特殊工艺图和杆塔明细表、大宗物资及辅助材料清单等。</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2.</w:t>
      </w:r>
      <w:r w:rsidRPr="005F38BA">
        <w:rPr>
          <w:rFonts w:ascii="Arial" w:eastAsia="宋体" w:hAnsi="Arial" w:cs="Arial"/>
          <w:color w:val="111111"/>
          <w:kern w:val="0"/>
          <w:sz w:val="27"/>
          <w:szCs w:val="27"/>
        </w:rPr>
        <w:t>电缆配电线路设计施工图纸应包含设计说明书、土建路径图（应包含电缆标志设置点、电缆沟、管、井设置位置、电缆中间接头位置及编号）、电缆沟（管、井）的平断面图、设备基础图、接地装置图、电气接线图、特殊工艺图和电缆清册、设备材料清单等。电缆终端、中间头附件以及施工方式等有特殊要求的，应在设计说明书中加以描述。</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第十七条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电力接入工程设施应采用技术成熟、少（免）维护、低损耗、小型化、具备可扩展功能的设备，各类设备关键组部件应采用优质品牌产品，设备品质不低于供电企业负责建设全过程服务期间的设备选用水平。</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第七章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重点工作要求</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第十八条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推进公共配电网建设，各区政府（园区管委会）及土地运作主体对辖区道路、园区新建或扩建设计前，应会同供电企业对公共变电站、电缆通道、环网柜等电力配套设施进行提前规划布局，推进电网规划与城市规划深度融合，将配电网适度提前延伸建设至待开发用电地块红线外，打造省市级重点园区、城市核心区</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开门接电</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服务。</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第十九条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明确政电企三方责任，推行接入工程契约服务。建立各区政府（园区管委会）及土地运作主体、供电企业、用户三方契约制。政府承诺线路通道、电缆管沟管廊等市政配套基础设施建设标准，供电企业承诺电力接入服务标准，用户承诺内部工程建设时长及投运后用电量水平，通过三方契约，保障政府、供电企业、用户在电力接入过程中的合法权益，平等承担责任义务。政府相关主管部门以用户生产和用电性质为依据，加强用户重要性等级的审核并出具书面认定意见。供电企业以用户实际用电设备为依据，加强报装容量的审核。接电起始时间以用户向供电企业正式申请用电为准。</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第二十条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深化政企合作，建立常态联系机制，信息共享。在土地出让或划拨后，及时将地块相关信息与供电企业共享。</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第八章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管线资产权属及运维养护</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第二十一条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为进一步理顺产权责任，强化电网安全管理，持续提升供电可靠性，由政府、供电企业共担的电力接入工程项目建成后，政府承担部分形成的固定资产，由政府与供电企业签订移交协议。电力接入工程建成后的维修、养护和更新、改造费用由供电企业负责。</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lastRenderedPageBreak/>
        <w:t>第九章</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附则</w:t>
      </w:r>
    </w:p>
    <w:p w:rsidR="005F38BA" w:rsidRPr="005F38BA" w:rsidRDefault="005F38BA" w:rsidP="005F38BA">
      <w:pPr>
        <w:widowControl/>
        <w:shd w:val="clear" w:color="auto" w:fill="FFFFFF"/>
        <w:spacing w:line="420" w:lineRule="atLeast"/>
        <w:ind w:firstLine="480"/>
        <w:jc w:val="left"/>
        <w:rPr>
          <w:rFonts w:ascii="Arial" w:eastAsia="宋体" w:hAnsi="Arial" w:cs="Arial"/>
          <w:color w:val="111111"/>
          <w:kern w:val="0"/>
          <w:sz w:val="27"/>
          <w:szCs w:val="27"/>
        </w:rPr>
      </w:pPr>
      <w:r w:rsidRPr="005F38BA">
        <w:rPr>
          <w:rFonts w:ascii="Arial" w:eastAsia="宋体" w:hAnsi="Arial" w:cs="Arial"/>
          <w:color w:val="111111"/>
          <w:kern w:val="0"/>
          <w:sz w:val="27"/>
          <w:szCs w:val="27"/>
        </w:rPr>
        <w:t>第二十二条</w:t>
      </w:r>
      <w:r w:rsidRPr="005F38BA">
        <w:rPr>
          <w:rFonts w:ascii="Arial" w:eastAsia="宋体" w:hAnsi="Arial" w:cs="Arial"/>
          <w:color w:val="111111"/>
          <w:kern w:val="0"/>
          <w:sz w:val="27"/>
          <w:szCs w:val="27"/>
        </w:rPr>
        <w:t> </w:t>
      </w:r>
      <w:r w:rsidRPr="005F38BA">
        <w:rPr>
          <w:rFonts w:ascii="Arial" w:eastAsia="宋体" w:hAnsi="Arial" w:cs="Arial"/>
          <w:color w:val="111111"/>
          <w:kern w:val="0"/>
          <w:sz w:val="27"/>
          <w:szCs w:val="27"/>
        </w:rPr>
        <w:t>本操作办法自发文之日起实施，《关于印发〈南京市电力接入工程政企共担管理机制操作办法（试行）〉的通知》（宁发改价费字〔</w:t>
      </w:r>
      <w:r w:rsidRPr="005F38BA">
        <w:rPr>
          <w:rFonts w:ascii="Arial" w:eastAsia="宋体" w:hAnsi="Arial" w:cs="Arial"/>
          <w:color w:val="111111"/>
          <w:kern w:val="0"/>
          <w:sz w:val="27"/>
          <w:szCs w:val="27"/>
        </w:rPr>
        <w:t>2022</w:t>
      </w:r>
      <w:r w:rsidRPr="005F38BA">
        <w:rPr>
          <w:rFonts w:ascii="Arial" w:eastAsia="宋体" w:hAnsi="Arial" w:cs="Arial"/>
          <w:color w:val="111111"/>
          <w:kern w:val="0"/>
          <w:sz w:val="27"/>
          <w:szCs w:val="27"/>
        </w:rPr>
        <w:t>〕</w:t>
      </w:r>
      <w:r w:rsidRPr="005F38BA">
        <w:rPr>
          <w:rFonts w:ascii="Arial" w:eastAsia="宋体" w:hAnsi="Arial" w:cs="Arial"/>
          <w:color w:val="111111"/>
          <w:kern w:val="0"/>
          <w:sz w:val="27"/>
          <w:szCs w:val="27"/>
        </w:rPr>
        <w:t>55</w:t>
      </w:r>
      <w:r w:rsidRPr="005F38BA">
        <w:rPr>
          <w:rFonts w:ascii="Arial" w:eastAsia="宋体" w:hAnsi="Arial" w:cs="Arial"/>
          <w:color w:val="111111"/>
          <w:kern w:val="0"/>
          <w:sz w:val="27"/>
          <w:szCs w:val="27"/>
        </w:rPr>
        <w:t>号）同时废止。如国家和省出台新的政策，按照最新的政策执行。</w:t>
      </w:r>
    </w:p>
    <w:p w:rsidR="00A82105" w:rsidRPr="005F38BA" w:rsidRDefault="00A82105"/>
    <w:sectPr w:rsidR="00A82105" w:rsidRPr="005F38BA" w:rsidSect="000742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DA7" w:rsidRDefault="00D63DA7" w:rsidP="005F38BA">
      <w:r>
        <w:separator/>
      </w:r>
    </w:p>
  </w:endnote>
  <w:endnote w:type="continuationSeparator" w:id="1">
    <w:p w:rsidR="00D63DA7" w:rsidRDefault="00D63DA7" w:rsidP="005F38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2766"/>
      <w:docPartObj>
        <w:docPartGallery w:val="Page Numbers (Bottom of Page)"/>
        <w:docPartUnique/>
      </w:docPartObj>
    </w:sdtPr>
    <w:sdtContent>
      <w:p w:rsidR="00ED3F38" w:rsidRDefault="00ED3F38">
        <w:pPr>
          <w:pStyle w:val="a4"/>
          <w:jc w:val="center"/>
        </w:pPr>
        <w:fldSimple w:instr=" PAGE   \* MERGEFORMAT ">
          <w:r w:rsidRPr="00ED3F38">
            <w:rPr>
              <w:noProof/>
              <w:lang w:val="zh-CN"/>
            </w:rPr>
            <w:t>2</w:t>
          </w:r>
        </w:fldSimple>
      </w:p>
    </w:sdtContent>
  </w:sdt>
  <w:p w:rsidR="00ED3F38" w:rsidRDefault="00ED3F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DA7" w:rsidRDefault="00D63DA7" w:rsidP="005F38BA">
      <w:r>
        <w:separator/>
      </w:r>
    </w:p>
  </w:footnote>
  <w:footnote w:type="continuationSeparator" w:id="1">
    <w:p w:rsidR="00D63DA7" w:rsidRDefault="00D63DA7" w:rsidP="005F38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8BA"/>
    <w:rsid w:val="0007428C"/>
    <w:rsid w:val="005941E4"/>
    <w:rsid w:val="005F38BA"/>
    <w:rsid w:val="00633E8C"/>
    <w:rsid w:val="00A82105"/>
    <w:rsid w:val="00D63DA7"/>
    <w:rsid w:val="00DB3008"/>
    <w:rsid w:val="00ED3F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8C"/>
    <w:pPr>
      <w:widowControl w:val="0"/>
      <w:jc w:val="both"/>
    </w:pPr>
  </w:style>
  <w:style w:type="paragraph" w:styleId="4">
    <w:name w:val="heading 4"/>
    <w:basedOn w:val="a"/>
    <w:link w:val="4Char"/>
    <w:uiPriority w:val="9"/>
    <w:qFormat/>
    <w:rsid w:val="005F38B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3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38BA"/>
    <w:rPr>
      <w:sz w:val="18"/>
      <w:szCs w:val="18"/>
    </w:rPr>
  </w:style>
  <w:style w:type="paragraph" w:styleId="a4">
    <w:name w:val="footer"/>
    <w:basedOn w:val="a"/>
    <w:link w:val="Char0"/>
    <w:uiPriority w:val="99"/>
    <w:unhideWhenUsed/>
    <w:rsid w:val="005F38BA"/>
    <w:pPr>
      <w:tabs>
        <w:tab w:val="center" w:pos="4153"/>
        <w:tab w:val="right" w:pos="8306"/>
      </w:tabs>
      <w:snapToGrid w:val="0"/>
      <w:jc w:val="left"/>
    </w:pPr>
    <w:rPr>
      <w:sz w:val="18"/>
      <w:szCs w:val="18"/>
    </w:rPr>
  </w:style>
  <w:style w:type="character" w:customStyle="1" w:styleId="Char0">
    <w:name w:val="页脚 Char"/>
    <w:basedOn w:val="a0"/>
    <w:link w:val="a4"/>
    <w:uiPriority w:val="99"/>
    <w:rsid w:val="005F38BA"/>
    <w:rPr>
      <w:sz w:val="18"/>
      <w:szCs w:val="18"/>
    </w:rPr>
  </w:style>
  <w:style w:type="character" w:customStyle="1" w:styleId="4Char">
    <w:name w:val="标题 4 Char"/>
    <w:basedOn w:val="a0"/>
    <w:link w:val="4"/>
    <w:uiPriority w:val="9"/>
    <w:rsid w:val="005F38BA"/>
    <w:rPr>
      <w:rFonts w:ascii="宋体" w:eastAsia="宋体" w:hAnsi="宋体" w:cs="宋体"/>
      <w:b/>
      <w:bCs/>
      <w:kern w:val="0"/>
      <w:sz w:val="24"/>
      <w:szCs w:val="24"/>
    </w:rPr>
  </w:style>
  <w:style w:type="paragraph" w:styleId="a5">
    <w:name w:val="Normal (Web)"/>
    <w:basedOn w:val="a"/>
    <w:uiPriority w:val="99"/>
    <w:semiHidden/>
    <w:unhideWhenUsed/>
    <w:rsid w:val="005F38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6748129">
      <w:bodyDiv w:val="1"/>
      <w:marLeft w:val="0"/>
      <w:marRight w:val="0"/>
      <w:marTop w:val="0"/>
      <w:marBottom w:val="0"/>
      <w:divBdr>
        <w:top w:val="none" w:sz="0" w:space="0" w:color="auto"/>
        <w:left w:val="none" w:sz="0" w:space="0" w:color="auto"/>
        <w:bottom w:val="none" w:sz="0" w:space="0" w:color="auto"/>
        <w:right w:val="none" w:sz="0" w:space="0" w:color="auto"/>
      </w:divBdr>
      <w:divsChild>
        <w:div w:id="108137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680</Words>
  <Characters>3880</Characters>
  <Application>Microsoft Office Word</Application>
  <DocSecurity>0</DocSecurity>
  <Lines>32</Lines>
  <Paragraphs>9</Paragraphs>
  <ScaleCrop>false</ScaleCrop>
  <Company>HP Inc.</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罗飞(luofei)</dc:creator>
  <cp:keywords/>
  <dc:description/>
  <cp:lastModifiedBy>罗飞(luofei)</cp:lastModifiedBy>
  <cp:revision>6</cp:revision>
  <dcterms:created xsi:type="dcterms:W3CDTF">2025-09-25T01:23:00Z</dcterms:created>
  <dcterms:modified xsi:type="dcterms:W3CDTF">2025-09-25T01:30:00Z</dcterms:modified>
</cp:coreProperties>
</file>