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shd w:val="clear" w:color="auto" w:fill="FFFFFF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  <w:t>20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2</w:t>
      </w:r>
      <w:r>
        <w:rPr>
          <w:rFonts w:hint="eastAsia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年六合区农机化发展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  <w:t>关键环节</w:t>
      </w:r>
      <w:r>
        <w:rPr>
          <w:rFonts w:hint="eastAsia" w:eastAsia="方正小标宋_GBK" w:cs="Times New Roman"/>
          <w:b w:val="0"/>
          <w:bCs w:val="0"/>
          <w:color w:val="auto"/>
          <w:sz w:val="44"/>
          <w:szCs w:val="44"/>
          <w:lang w:eastAsia="zh-CN"/>
        </w:rPr>
        <w:t>区级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  <w:t>以奖代补资金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  <w:t>申报指南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</w:rPr>
        <w:t>一、目标</w:t>
      </w: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eastAsia="zh-CN"/>
        </w:rPr>
        <w:t>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通过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年六合区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eastAsia="zh-CN"/>
        </w:rPr>
        <w:t>农机化发展关键环节</w:t>
      </w:r>
      <w:r>
        <w:rPr>
          <w:rFonts w:hint="eastAsia" w:eastAsia="方正仿宋简体" w:cs="Times New Roman"/>
          <w:b w:val="0"/>
          <w:bCs w:val="0"/>
          <w:color w:val="auto"/>
          <w:sz w:val="32"/>
          <w:szCs w:val="32"/>
          <w:lang w:eastAsia="zh-CN"/>
        </w:rPr>
        <w:t>区级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eastAsia="zh-CN"/>
        </w:rPr>
        <w:t>以奖代补资金的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实施和带动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，加快补齐我区</w:t>
      </w:r>
      <w:r>
        <w:rPr>
          <w:rFonts w:hint="eastAsia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粮油作物生产农机化关键环节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短板弱项，</w:t>
      </w:r>
      <w:r>
        <w:rPr>
          <w:rFonts w:hint="eastAsia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稳步推进我区农业生产全程全面机械化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eastAsia="zh-CN"/>
        </w:rPr>
        <w:t>二</w:t>
      </w: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</w:rPr>
        <w:t>、申报主体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全区范围内从事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粮油种植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农村集体经济组织、农业企业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农民专业合作社、家庭农场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eastAsia="zh-CN"/>
        </w:rPr>
        <w:t>三</w:t>
      </w: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</w:rPr>
        <w:t>、资金安排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资金总量。202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年区财政预算安排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农机化发展关键环节以奖代补资金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87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重点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用于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推进我区</w:t>
      </w:r>
      <w:r>
        <w:rPr>
          <w:rFonts w:hint="eastAsia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粮油产地烘干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机械化。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申报数量及额度。计划安排</w:t>
      </w:r>
      <w:r>
        <w:rPr>
          <w:rFonts w:hint="eastAsia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~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家，每家申请区财政以奖代补资金额度为</w:t>
      </w:r>
      <w:r>
        <w:rPr>
          <w:rFonts w:hint="eastAsia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~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eastAsia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投资比例。</w:t>
      </w:r>
      <w:r>
        <w:rPr>
          <w:rFonts w:hint="eastAsia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农业企业、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农民专业合作社、家庭农场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农村集体经济组织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申请的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eastAsia" w:eastAsia="方正仿宋简体" w:cs="Times New Roman"/>
          <w:color w:val="00000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年六合区农机化发展关键环节</w:t>
      </w:r>
      <w:r>
        <w:rPr>
          <w:rFonts w:hint="eastAsia" w:eastAsia="方正仿宋简体" w:cs="Times New Roman"/>
          <w:color w:val="000000"/>
          <w:sz w:val="32"/>
          <w:szCs w:val="32"/>
          <w:lang w:val="en-US" w:eastAsia="zh-CN"/>
        </w:rPr>
        <w:t>区级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以奖代补资金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eastAsia="zh-CN"/>
        </w:rPr>
        <w:t>不超过项目总投资金额的</w:t>
      </w:r>
      <w:r>
        <w:rPr>
          <w:rFonts w:hint="eastAsia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eastAsia="zh-CN"/>
        </w:rPr>
        <w:t>0%</w:t>
      </w:r>
      <w:r>
        <w:rPr>
          <w:rFonts w:hint="eastAsia" w:eastAsia="方正仿宋简体" w:cs="Times New Roman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本项目所购置的农业装备，不得再申报农机购置与应用补贴以及其他项目资金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</w:t>
      </w: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</w:rPr>
        <w:t xml:space="preserve">   四、申报内容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为进一步提升</w:t>
      </w:r>
      <w:r>
        <w:rPr>
          <w:rFonts w:hint="eastAsia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我区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粮</w:t>
      </w:r>
      <w:r>
        <w:rPr>
          <w:rFonts w:hint="eastAsia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油产地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烘干能力，保障粮</w:t>
      </w:r>
      <w:r>
        <w:rPr>
          <w:rFonts w:hint="eastAsia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油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安全</w:t>
      </w:r>
      <w:r>
        <w:rPr>
          <w:rFonts w:hint="eastAsia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eastAsia="方正仿宋简体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年六合区农机化发展关键环节</w:t>
      </w:r>
      <w:r>
        <w:rPr>
          <w:rFonts w:hint="eastAsia" w:eastAsia="方正仿宋简体" w:cs="Times New Roman"/>
          <w:color w:val="000000"/>
          <w:sz w:val="32"/>
          <w:szCs w:val="32"/>
          <w:lang w:val="en-US" w:eastAsia="zh-CN"/>
        </w:rPr>
        <w:t>以奖代补资金支持农业经营主体购置移动式烘干机，每个申报主体限申报1台移动式烘干机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eastAsia="zh-CN"/>
        </w:rPr>
        <w:t>　　五</w:t>
      </w: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</w:rPr>
        <w:t>、申报</w:t>
      </w: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1.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项目机械装备购置日期须在202</w:t>
      </w:r>
      <w:r>
        <w:rPr>
          <w:rFonts w:hint="eastAsia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日</w:t>
      </w:r>
      <w:r>
        <w:rPr>
          <w:rFonts w:hint="eastAsia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至2026年9月8日期间。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由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各街镇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审核确定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申报主体，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及时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指导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申报主体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填写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/>
        </w:rPr>
        <w:t>202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/>
        </w:rPr>
        <w:t>年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val="en-US" w:eastAsia="zh-CN"/>
        </w:rPr>
        <w:t>六合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/>
        </w:rPr>
        <w:t>农机化发展关键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eastAsia="zh-CN"/>
        </w:rPr>
        <w:t>环节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val="en-US" w:eastAsia="zh-CN"/>
        </w:rPr>
        <w:t>区级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eastAsia="zh-CN"/>
        </w:rPr>
        <w:t>以奖代补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</w:rPr>
        <w:t>资金申请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eastAsia="zh-CN"/>
        </w:rPr>
        <w:t>立项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</w:rPr>
        <w:t>表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》（附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）并提交营业执照（法人证书）、法人代表身份证等附件材料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同时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做好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申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报材料核实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工作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街镇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审核后，于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日前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统一报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农机总站汇总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农机总站根据各街镇汇总上报的项目，实行竞争性立项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</w:pP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各街镇对辖区内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申报区农机化发展关键环节以奖代补资金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承担属地管理责任，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负责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做好全过程监管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color w:val="00000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日前，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申报主体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提交《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/>
        </w:rPr>
        <w:t>202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/>
        </w:rPr>
        <w:t>年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val="en-US" w:eastAsia="zh-CN"/>
        </w:rPr>
        <w:t>六合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/>
        </w:rPr>
        <w:t>农机化发展关键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eastAsia="zh-CN"/>
        </w:rPr>
        <w:t>环节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val="en-US" w:eastAsia="zh-CN"/>
        </w:rPr>
        <w:t>区级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eastAsia="zh-CN"/>
        </w:rPr>
        <w:t>以奖代补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</w:rPr>
        <w:t>资金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eastAsia="zh-CN"/>
        </w:rPr>
        <w:t>验收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</w:rPr>
        <w:t>表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》（附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）以及机具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票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复印件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等附件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，发票的真实性由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街镇负责审核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；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申报主体提交《承诺书》（附件3），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购机款须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通过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银行转账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给经销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并提供银行流水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区农机总站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委托第三方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进行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审计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并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时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拨付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区级以奖代补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kern w:val="0"/>
          <w:sz w:val="32"/>
          <w:szCs w:val="32"/>
          <w:lang w:eastAsia="zh-CN"/>
        </w:rPr>
        <w:t>联系人：严功清，　　电话</w:t>
      </w:r>
      <w:r>
        <w:rPr>
          <w:rFonts w:hint="default" w:ascii="Times New Roman" w:hAnsi="Times New Roman" w:eastAsia="方正仿宋简体" w:cs="Times New Roman"/>
          <w:bCs/>
          <w:kern w:val="0"/>
          <w:sz w:val="32"/>
          <w:szCs w:val="32"/>
        </w:rPr>
        <w:t>5712</w:t>
      </w:r>
      <w:r>
        <w:rPr>
          <w:rFonts w:hint="default" w:ascii="Times New Roman" w:hAnsi="Times New Roman" w:eastAsia="方正仿宋简体" w:cs="Times New Roman"/>
          <w:bCs/>
          <w:kern w:val="0"/>
          <w:sz w:val="32"/>
          <w:szCs w:val="32"/>
          <w:lang w:val="en-US" w:eastAsia="zh-CN"/>
        </w:rPr>
        <w:t>0261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3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3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3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3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3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3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210" w:rightChars="-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210" w:leftChars="-100" w:right="-210" w:rightChars="-100"/>
        <w:jc w:val="center"/>
        <w:textAlignment w:val="auto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Tahoma"/>
          <w:b/>
          <w:bCs/>
          <w:color w:val="000000"/>
          <w:kern w:val="0"/>
          <w:sz w:val="32"/>
          <w:szCs w:val="32"/>
          <w:lang w:val="en-US" w:eastAsia="zh-CN"/>
        </w:rPr>
        <w:t>2026年六合区农机化发展关键环节区级以奖代补资金申请立项</w:t>
      </w:r>
      <w:r>
        <w:rPr>
          <w:rFonts w:hint="eastAsia" w:ascii="宋体" w:hAnsi="宋体" w:cs="Tahoma"/>
          <w:b/>
          <w:bCs/>
          <w:color w:val="000000"/>
          <w:kern w:val="0"/>
          <w:sz w:val="32"/>
          <w:szCs w:val="32"/>
        </w:rPr>
        <w:t>表</w:t>
      </w:r>
    </w:p>
    <w:tbl>
      <w:tblPr>
        <w:tblStyle w:val="6"/>
        <w:tblW w:w="9972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3183"/>
        <w:gridCol w:w="1181"/>
        <w:gridCol w:w="1540"/>
        <w:gridCol w:w="395"/>
        <w:gridCol w:w="754"/>
        <w:gridCol w:w="10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  <w:lang w:eastAsia="zh-CN"/>
              </w:rPr>
              <w:t>申报主体</w:t>
            </w:r>
          </w:p>
        </w:tc>
        <w:tc>
          <w:tcPr>
            <w:tcW w:w="4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联系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  <w:lang w:eastAsia="zh-CN"/>
              </w:rPr>
              <w:t>人及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ahoma"/>
                <w:color w:val="000000"/>
                <w:w w:val="90"/>
                <w:kern w:val="0"/>
                <w:sz w:val="24"/>
                <w:szCs w:val="24"/>
              </w:rPr>
              <w:t>组织机构代码证</w:t>
            </w:r>
          </w:p>
        </w:tc>
        <w:tc>
          <w:tcPr>
            <w:tcW w:w="4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1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eastAsia="zh-CN"/>
              </w:rPr>
              <w:t>基本情况</w:t>
            </w:r>
          </w:p>
        </w:tc>
        <w:tc>
          <w:tcPr>
            <w:tcW w:w="812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  <w:lang w:eastAsia="zh-CN"/>
              </w:rPr>
            </w:pPr>
          </w:p>
          <w:p>
            <w:pPr>
              <w:widowControl/>
              <w:jc w:val="left"/>
            </w:pPr>
            <w:r>
              <w:rPr>
                <w:rFonts w:hint="eastAsia"/>
                <w:lang w:eastAsia="zh-CN"/>
              </w:rPr>
              <w:t>包括申报主体登记注册时间、</w:t>
            </w:r>
            <w:r>
              <w:rPr>
                <w:rFonts w:hint="eastAsia"/>
                <w:lang w:val="en-US" w:eastAsia="zh-CN"/>
              </w:rPr>
              <w:t>种植</w:t>
            </w:r>
            <w:r>
              <w:rPr>
                <w:rFonts w:hint="eastAsia"/>
                <w:lang w:eastAsia="zh-CN"/>
              </w:rPr>
              <w:t>品种、规模、生产经营以及项目建设目的、计划安排等基本情况（</w:t>
            </w:r>
            <w:r>
              <w:rPr>
                <w:rFonts w:hint="eastAsia"/>
                <w:lang w:val="en-US" w:eastAsia="zh-CN"/>
              </w:rPr>
              <w:t>500字左右）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  <w:lang w:eastAsia="zh-CN"/>
              </w:rPr>
              <w:t>以奖代补名称</w:t>
            </w:r>
          </w:p>
        </w:tc>
        <w:tc>
          <w:tcPr>
            <w:tcW w:w="59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  <w:lang w:val="en-US" w:eastAsia="zh-CN"/>
              </w:rPr>
              <w:t>XX家庭农场移动式烘干机以奖代补</w:t>
            </w:r>
            <w:r>
              <w:rPr>
                <w:rFonts w:hint="eastAsia" w:ascii="宋体" w:hAnsi="宋体" w:cs="Tahoma"/>
                <w:color w:val="0000FF"/>
                <w:kern w:val="0"/>
                <w:sz w:val="24"/>
                <w:szCs w:val="24"/>
                <w:lang w:val="en-US" w:eastAsia="zh-CN"/>
              </w:rPr>
              <w:t>（示例）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  <w:lang w:val="en-US" w:eastAsia="zh-CN"/>
              </w:rPr>
              <w:t>拟申请以奖代补资金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  <w:lang w:val="en-US" w:eastAsia="zh-CN"/>
              </w:rPr>
              <w:t>　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1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  <w:lang w:eastAsia="zh-CN"/>
              </w:rPr>
              <w:t>“机器换人”具体内容</w:t>
            </w:r>
          </w:p>
        </w:tc>
        <w:tc>
          <w:tcPr>
            <w:tcW w:w="81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购置</w:t>
            </w:r>
            <w:r>
              <w:rPr>
                <w:rFonts w:hint="eastAsia"/>
                <w:u w:val="single"/>
                <w:lang w:val="en-US" w:eastAsia="zh-CN"/>
              </w:rPr>
              <w:t xml:space="preserve">  移动式烘干机1台  </w:t>
            </w:r>
            <w:r>
              <w:rPr>
                <w:rFonts w:hint="eastAsia"/>
                <w:lang w:val="en-US" w:eastAsia="zh-CN"/>
              </w:rPr>
              <w:t>，产品型号</w:t>
            </w:r>
            <w:r>
              <w:rPr>
                <w:rFonts w:hint="eastAsia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lang w:val="en-US" w:eastAsia="zh-CN"/>
              </w:rPr>
              <w:t>，价格</w:t>
            </w:r>
            <w:r>
              <w:rPr>
                <w:rFonts w:hint="eastAsia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u w:val="none"/>
                <w:lang w:val="en-US" w:eastAsia="zh-CN"/>
              </w:rPr>
              <w:t>万元</w:t>
            </w:r>
            <w:r>
              <w:rPr>
                <w:rFonts w:hint="eastAsia"/>
                <w:lang w:val="en-US" w:eastAsia="zh-CN"/>
              </w:rPr>
              <w:t>，购置后年计划烘干粮油</w:t>
            </w:r>
            <w:r>
              <w:rPr>
                <w:rFonts w:hint="eastAsia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u w:val="none"/>
                <w:lang w:val="en-US" w:eastAsia="zh-CN"/>
              </w:rPr>
              <w:t>吨</w:t>
            </w:r>
            <w:r>
              <w:rPr>
                <w:rFonts w:hint="eastAsia"/>
                <w:lang w:val="en-US" w:eastAsia="zh-CN"/>
              </w:rPr>
              <w:t>，申请区级以奖代补资金</w:t>
            </w:r>
            <w:r>
              <w:rPr>
                <w:rFonts w:hint="eastAsia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lang w:val="en-US" w:eastAsia="zh-CN"/>
              </w:rPr>
              <w:t>万元。</w:t>
            </w:r>
          </w:p>
          <w:p>
            <w:pPr>
              <w:widowControl/>
              <w:ind w:firstLine="420" w:firstLineChars="200"/>
              <w:jc w:val="left"/>
              <w:rPr>
                <w:rFonts w:hint="eastAsia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99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申请人意见：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    本人（单位）对上述申报内容及提交附件材料的真实性、合法性负责。如有弄虚作假，愿承担相关责任。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                                                      （盖   章）                                     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  <w:lang w:eastAsia="zh-CN"/>
              </w:rPr>
              <w:t>负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责人签字：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                       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5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街镇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  <w:lang w:eastAsia="zh-CN"/>
              </w:rPr>
              <w:t>农业农村部门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审核意见：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                      （盖  章）                                                              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负责人签字：                                                               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                      年   月    日                                                       </w:t>
            </w:r>
          </w:p>
        </w:tc>
        <w:tc>
          <w:tcPr>
            <w:tcW w:w="49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街镇财政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审核意见：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                                           </w:t>
            </w:r>
          </w:p>
          <w:p>
            <w:pPr>
              <w:widowControl/>
              <w:ind w:firstLine="2640" w:firstLineChars="110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（盖  章）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负责人签字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99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  <w:lang w:eastAsia="zh-CN"/>
              </w:rPr>
              <w:t>街道办事处、镇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政府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或相关部门）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核意见：</w:t>
            </w:r>
          </w:p>
          <w:p>
            <w:pPr>
              <w:widowControl/>
              <w:jc w:val="left"/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                                                 </w:t>
            </w:r>
          </w:p>
          <w:p>
            <w:pPr>
              <w:widowControl/>
              <w:jc w:val="left"/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  <w:lang w:eastAsia="zh-CN"/>
              </w:rPr>
              <w:t>　　　　　　　　　　　　　　　　　　　　　　　　　　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 （盖  章） </w:t>
            </w:r>
          </w:p>
          <w:p>
            <w:pPr>
              <w:widowControl/>
              <w:ind w:firstLine="6360" w:firstLineChars="265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  <w:lang w:eastAsia="zh-CN"/>
              </w:rPr>
              <w:t>分管领导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签字： </w:t>
            </w:r>
          </w:p>
          <w:p>
            <w:pPr>
              <w:widowControl/>
              <w:ind w:firstLine="6240" w:firstLineChars="260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          年   月   日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210" w:rightChars="-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2：</w:t>
      </w:r>
    </w:p>
    <w:p>
      <w:pPr>
        <w:spacing w:line="480" w:lineRule="exact"/>
        <w:jc w:val="center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cs="Tahoma"/>
          <w:color w:val="000000"/>
          <w:kern w:val="0"/>
          <w:sz w:val="32"/>
          <w:szCs w:val="32"/>
          <w:lang w:val="en-US" w:eastAsia="zh-CN"/>
        </w:rPr>
        <w:t>2026年六合区农机化发展关键环节区级以奖代补资金验收</w:t>
      </w:r>
      <w:r>
        <w:rPr>
          <w:rFonts w:hint="eastAsia" w:ascii="宋体" w:hAnsi="宋体" w:cs="Tahoma"/>
          <w:color w:val="000000"/>
          <w:kern w:val="0"/>
          <w:sz w:val="32"/>
          <w:szCs w:val="32"/>
        </w:rPr>
        <w:t>表</w:t>
      </w:r>
    </w:p>
    <w:tbl>
      <w:tblPr>
        <w:tblStyle w:val="6"/>
        <w:tblW w:w="9972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3183"/>
        <w:gridCol w:w="1181"/>
        <w:gridCol w:w="1540"/>
        <w:gridCol w:w="395"/>
        <w:gridCol w:w="754"/>
        <w:gridCol w:w="10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  <w:lang w:eastAsia="zh-CN"/>
              </w:rPr>
              <w:t>申报主体</w:t>
            </w:r>
          </w:p>
        </w:tc>
        <w:tc>
          <w:tcPr>
            <w:tcW w:w="4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联系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  <w:lang w:eastAsia="zh-CN"/>
              </w:rPr>
              <w:t>人及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ahoma"/>
                <w:color w:val="000000"/>
                <w:w w:val="90"/>
                <w:kern w:val="0"/>
                <w:sz w:val="24"/>
                <w:szCs w:val="24"/>
              </w:rPr>
              <w:t>组织机构代码证</w:t>
            </w:r>
          </w:p>
        </w:tc>
        <w:tc>
          <w:tcPr>
            <w:tcW w:w="4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  <w:lang w:eastAsia="zh-CN"/>
              </w:rPr>
              <w:t>以奖代补名称</w:t>
            </w:r>
          </w:p>
        </w:tc>
        <w:tc>
          <w:tcPr>
            <w:tcW w:w="59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  <w:lang w:val="en-US" w:eastAsia="zh-CN"/>
              </w:rPr>
              <w:t>XX家庭农场移动式烘干机以奖代补</w:t>
            </w:r>
            <w:r>
              <w:rPr>
                <w:rFonts w:hint="eastAsia" w:ascii="宋体" w:hAnsi="宋体" w:cs="Tahoma"/>
                <w:color w:val="0000FF"/>
                <w:kern w:val="0"/>
                <w:sz w:val="24"/>
                <w:szCs w:val="24"/>
                <w:lang w:val="en-US" w:eastAsia="zh-CN"/>
              </w:rPr>
              <w:t>（示例）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  <w:lang w:val="en-US" w:eastAsia="zh-CN"/>
              </w:rPr>
              <w:t>申请以奖代补资金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  <w:lang w:val="en-US" w:eastAsia="zh-CN"/>
              </w:rPr>
              <w:t>　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1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  <w:lang w:eastAsia="zh-CN"/>
              </w:rPr>
              <w:t>“机器换人”具体内容</w:t>
            </w:r>
          </w:p>
        </w:tc>
        <w:tc>
          <w:tcPr>
            <w:tcW w:w="81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default"/>
                <w:u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本项目累计购置</w:t>
            </w:r>
            <w:r>
              <w:rPr>
                <w:rFonts w:hint="eastAsia"/>
                <w:u w:val="single"/>
                <w:lang w:val="en-US" w:eastAsia="zh-CN"/>
              </w:rPr>
              <w:t xml:space="preserve"> 移动式烘干机1 </w:t>
            </w:r>
            <w:r>
              <w:rPr>
                <w:rFonts w:hint="eastAsia"/>
                <w:lang w:val="en-US" w:eastAsia="zh-CN"/>
              </w:rPr>
              <w:t>台，产品型号</w:t>
            </w:r>
            <w:r>
              <w:rPr>
                <w:rFonts w:hint="eastAsia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lang w:val="en-US" w:eastAsia="zh-CN"/>
              </w:rPr>
              <w:t>，总价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lang w:val="en-US" w:eastAsia="zh-CN"/>
              </w:rPr>
              <w:t>万元，共申请区财政农机化发展以奖代补</w:t>
            </w:r>
            <w:r>
              <w:rPr>
                <w:rFonts w:hint="eastAsia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lang w:val="en-US" w:eastAsia="zh-CN"/>
              </w:rPr>
              <w:t>万元，购置后烘干粮油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u w:val="none"/>
                <w:lang w:val="en-US" w:eastAsia="zh-CN"/>
              </w:rPr>
              <w:t>吨。</w:t>
            </w:r>
          </w:p>
          <w:p>
            <w:pPr>
              <w:widowControl/>
              <w:ind w:firstLine="420" w:firstLineChars="200"/>
              <w:jc w:val="left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 xml:space="preserve">附件包括购机发票复印件及付款银行流水等。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99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申请人意见：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    本人（单位）对上述申报内容及提交附件材料的真实性、合法性负责。如有弄虚作假，愿承担相关责任。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                                                      （盖   章）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  <w:lang w:eastAsia="zh-CN"/>
              </w:rPr>
              <w:t>负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责人签字：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                       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街镇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  <w:lang w:eastAsia="zh-CN"/>
              </w:rPr>
              <w:t>农业农村部门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审核意见：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                      （盖  章）                                                              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             负责人签字：                                                               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                      年   月    日                                                       </w:t>
            </w:r>
          </w:p>
        </w:tc>
        <w:tc>
          <w:tcPr>
            <w:tcW w:w="49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街镇财政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审核意见：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                                           </w:t>
            </w:r>
          </w:p>
          <w:p>
            <w:pPr>
              <w:widowControl/>
              <w:ind w:firstLine="2640" w:firstLineChars="110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（盖  章）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             负责人签字：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99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街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  <w:lang w:eastAsia="zh-CN"/>
              </w:rPr>
              <w:t>道办事处、镇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政府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或相关部门）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审核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意见：</w:t>
            </w:r>
          </w:p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（盖  章） </w:t>
            </w:r>
          </w:p>
          <w:p>
            <w:pPr>
              <w:widowControl/>
              <w:ind w:firstLine="6360" w:firstLineChars="265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  <w:lang w:eastAsia="zh-CN"/>
              </w:rPr>
              <w:t>分管领导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签字： </w:t>
            </w:r>
          </w:p>
          <w:p>
            <w:pPr>
              <w:widowControl/>
              <w:ind w:firstLine="6240" w:firstLineChars="260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6240" w:firstLineChars="260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          年   月   日  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kern w:val="0"/>
          <w:sz w:val="15"/>
          <w:szCs w:val="15"/>
          <w:lang w:eastAsia="zh-CN"/>
        </w:rPr>
      </w:pPr>
    </w:p>
    <w:p>
      <w:pPr>
        <w:spacing w:line="220" w:lineRule="atLeast"/>
        <w:jc w:val="left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ind w:left="0" w:leftChars="0" w:firstLine="0" w:firstLineChars="0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color w:val="auto"/>
          <w:kern w:val="0"/>
          <w:sz w:val="32"/>
          <w:szCs w:val="32"/>
          <w:lang w:val="en-US" w:eastAsia="zh-CN"/>
        </w:rPr>
        <w:t>=</w:t>
      </w:r>
    </w:p>
    <w:sectPr>
      <w:headerReference r:id="rId3" w:type="default"/>
      <w:footerReference r:id="rId4" w:type="default"/>
      <w:pgSz w:w="11906" w:h="16838"/>
      <w:pgMar w:top="1417" w:right="1587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CDF9792-9F43-4113-8BA9-429DCE559CF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AF0EFDC-7649-4B4D-8BC6-4903E097CB7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3" w:fontKey="{0AC1160E-68E5-48A8-950D-955A404A8D3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F536C07-7847-4B16-A712-B2A27D54364B}"/>
  </w:font>
  <w:font w:name="方正黑体简体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5" w:fontKey="{22BC6CA9-0EA3-4B04-B2E3-0CD70EB9A26C}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6" w:fontKey="{24D2F0F2-793F-4897-9B06-79DCDCF49163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7" w:fontKey="{D14458D0-EAD0-43F7-9A45-07C77CB8A9D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366"/>
      </w:tabs>
      <w:rPr>
        <w:rFonts w:hint="eastAsia" w:eastAsia="宋体"/>
        <w:lang w:val="en-US"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１４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１４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mYjQ1YjU5MWI1ZGY2NGFiMGRmNjIxMzRjNDc5ODkifQ=="/>
  </w:docVars>
  <w:rsids>
    <w:rsidRoot w:val="3E4A795A"/>
    <w:rsid w:val="02BD4F66"/>
    <w:rsid w:val="07D83524"/>
    <w:rsid w:val="13EC2153"/>
    <w:rsid w:val="15074DB8"/>
    <w:rsid w:val="16766200"/>
    <w:rsid w:val="16C51681"/>
    <w:rsid w:val="1C2F1633"/>
    <w:rsid w:val="1CD64901"/>
    <w:rsid w:val="1F8467C0"/>
    <w:rsid w:val="280166D5"/>
    <w:rsid w:val="2A484A71"/>
    <w:rsid w:val="2A6B7251"/>
    <w:rsid w:val="2BE41ED2"/>
    <w:rsid w:val="2D9214E0"/>
    <w:rsid w:val="2DD03630"/>
    <w:rsid w:val="2DF43FF2"/>
    <w:rsid w:val="306F4706"/>
    <w:rsid w:val="31335643"/>
    <w:rsid w:val="33CF35C5"/>
    <w:rsid w:val="35BF1866"/>
    <w:rsid w:val="35D25E78"/>
    <w:rsid w:val="370A0FD4"/>
    <w:rsid w:val="377E11CC"/>
    <w:rsid w:val="3E4A795A"/>
    <w:rsid w:val="3F2B00EB"/>
    <w:rsid w:val="443D04EB"/>
    <w:rsid w:val="448A4449"/>
    <w:rsid w:val="44FA5C39"/>
    <w:rsid w:val="460A2104"/>
    <w:rsid w:val="48164F34"/>
    <w:rsid w:val="488F55EC"/>
    <w:rsid w:val="48C43931"/>
    <w:rsid w:val="492E4F73"/>
    <w:rsid w:val="4A227E43"/>
    <w:rsid w:val="4ABA7AC4"/>
    <w:rsid w:val="4FF87305"/>
    <w:rsid w:val="546F3C12"/>
    <w:rsid w:val="57460089"/>
    <w:rsid w:val="57973E1E"/>
    <w:rsid w:val="5A1F1411"/>
    <w:rsid w:val="5E677FF0"/>
    <w:rsid w:val="60D057B4"/>
    <w:rsid w:val="612B79B9"/>
    <w:rsid w:val="620B53AE"/>
    <w:rsid w:val="63232822"/>
    <w:rsid w:val="671E3545"/>
    <w:rsid w:val="67287350"/>
    <w:rsid w:val="679B344B"/>
    <w:rsid w:val="6EFC3D09"/>
    <w:rsid w:val="7754694F"/>
    <w:rsid w:val="79B54F40"/>
    <w:rsid w:val="79EE2C5A"/>
    <w:rsid w:val="7A7B217A"/>
    <w:rsid w:val="7E52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1"/>
    <w:qFormat/>
    <w:uiPriority w:val="0"/>
    <w:pPr>
      <w:spacing w:before="100" w:beforeAutospacing="1" w:after="120"/>
      <w:ind w:left="200" w:leftChars="200"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4a30020c-eee6-4e2e-8f7e-1314dcb447fd</errorID>
      <errorWord>农村和</errorWord>
      <group>L1_Grammar</group>
      <groupName>语法问题</groupName>
      <ability>L2_Order</ability>
      <abilityName>语序不当</abilityName>
      <candidateList>
        <item>农村</item>
      </candidateList>
      <explain>句子可能没有遵循时空、逻辑顺序，或者介词、关联词等位置不当。</explain>
      <paraID> 539B8AF</paraID>
      <start>14</start>
      <end>17</end>
      <status>unmodified</status>
      <modifiedWord/>
      <trackRevisions>false</trackRevisions>
    </reviewItem>
    <reviewItem>
      <errorID>66bbe623-8a63-44ce-8dd1-2a9836157b3f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52409539</paraID>
      <start>0</start>
      <end>2</end>
      <status>modified</status>
      <modifiedWord>1.</modifiedWord>
      <trackRevisions>false</trackRevisions>
    </reviewItem>
    <reviewItem>
      <errorID>07663841-e6a9-4e41-aa35-010114be5645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5B5AE573</paraID>
      <start>0</start>
      <end>2</end>
      <status>modified</status>
      <modifiedWord>2.</modifiedWord>
      <trackRevisions>false</trackRevisions>
    </reviewItem>
    <reviewItem>
      <errorID>d3343b2f-7333-4cb5-8a36-abf977e61ffd</errorID>
      <errorWord>5~15万</errorWord>
      <group>L1_Knowledge</group>
      <groupName>知识性问题</groupName>
      <ability>L2_Knowledge</ability>
      <abilityName>其他知识</abilityName>
      <candidateList>
        <item>5万～15万</item>
      </candidateList>
      <explain>1. “5~15万”中的单位“万”仅出现在后一个数字上，容易引起歧义；根据《现代汉语标点符号数字用法规范手册》，数字表示范围两边需要使用统一的格式。2.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5B5AE573</paraID>
      <start>36</start>
      <end>41</end>
      <status>unmodified</status>
      <modifiedWord/>
      <trackRevisions>false</trackRevisions>
    </reviewItem>
    <reviewItem>
      <errorID>c9d61741-22ee-4fb9-9a04-bc1a037cfca0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289EF727</paraID>
      <start>0</start>
      <end>2</end>
      <status>modified</status>
      <modifiedWord>3.</modifiedWord>
      <trackRevisions>false</trackRevisions>
    </reviewItem>
    <reviewItem>
      <errorID>47d4d300-af6c-48dd-b406-b8397796161b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5491EF3C</paraID>
      <start>0</start>
      <end>2</end>
      <status>modified</status>
      <modifiedWord>1.</modifiedWord>
      <trackRevisions>false</trackRevisions>
    </reviewItem>
    <reviewItem>
      <errorID>318d36d3-f1d3-44e4-af4a-fb889a40248a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67916818</paraID>
      <start>0</start>
      <end>2</end>
      <status>modified</status>
      <modifiedWord>2.</modifiedWord>
      <trackRevisions>false</trackRevisions>
    </reviewItem>
    <reviewItem>
      <errorID>6c37dfdb-703c-4293-8800-551b96707437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563D0405</paraID>
      <start>0</start>
      <end>2</end>
      <status>modified</status>
      <modifiedWord>3.</modifiedWord>
      <trackRevisions>false</trackRevisions>
    </reviewItem>
    <reviewItem>
      <errorID>94d648db-7e96-4fdc-adb8-48a1c5fbad01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23FA39D7</paraID>
      <start>0</start>
      <end>2</end>
      <status>modified</status>
      <modifiedWord>4.</modifiedWord>
      <trackRevisions>false</trackRevisions>
    </reviewItem>
    <reviewItem>
      <errorID>7e7ecce1-fc9d-4dd6-ab25-7133864b38cf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30C73816</paraID>
      <start>0</start>
      <end>2</end>
      <status>modified</status>
      <modifiedWord>5.</modifiedWord>
      <trackRevisions>false</trackRevisions>
    </reviewItem>
    <reviewItem>
      <errorID>77f4bbaf-63b5-401c-9128-84e1b93012bd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4AD8EB8E</paraID>
      <start>0</start>
      <end>2</end>
      <status>modified</status>
      <modifiedWord>6.</modifiedWord>
      <trackRevisions>false</trackRevisions>
    </reviewItem>
    <reviewItem>
      <errorID>c4b2bee1-3832-4484-a511-1537df5b6890</errorID>
      <errorWord>银行转帐</errorWord>
      <group>L1_Word</group>
      <groupName>字词问题</groupName>
      <ability>L2_Alias</ability>
      <abilityName>也作/曾用词</abilityName>
      <candidateList>
        <item>银行转账</item>
      </candidateList>
      <explain>词汇[银行转帐]为不规范表述或旧称，其规范书面表述为[银行转账]。</explain>
      <paraID>4AD8EB8E</paraID>
      <start>105</start>
      <end>109</end>
      <status>modified</status>
      <modifiedWord>银行转账</modifiedWord>
      <trackRevisions>false</trackRevisions>
    </reviewItem>
    <reviewItem>
      <errorID>0696950d-c986-4332-8b1a-f8ff5d095e19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6B3F0593</paraID>
      <start>0</start>
      <end>2</end>
      <status>modified</status>
      <modifiedWord>7.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947773-a1a3-4499-a85d-66a34b25c8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1180</Words>
  <Characters>1253</Characters>
  <Lines>0</Lines>
  <Paragraphs>0</Paragraphs>
  <TotalTime>18</TotalTime>
  <ScaleCrop>false</ScaleCrop>
  <LinksUpToDate>false</LinksUpToDate>
  <CharactersWithSpaces>1332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2023-05-05T00:39:00Z</dcterms:created>
  <dc:creator>鹄鸿</dc:creator>
  <cp:lastModifiedBy>Lenovo</cp:lastModifiedBy>
  <cp:lastPrinted>2026-04-03T02:46:00Z</cp:lastPrinted>
  <dcterms:modified xsi:type="dcterms:W3CDTF">2026-04-07T02:39:58Z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  <property fmtid="{D5CDD505-2E9C-101B-9397-08002B2CF9AE}" pid="3" name="ICV">
    <vt:lpwstr>AA3CAB372D984C99BFE27D6750DB8AB9_13</vt:lpwstr>
  </property>
  <property fmtid="{D5CDD505-2E9C-101B-9397-08002B2CF9AE}" pid="4" name="KSOTemplateDocerSaveRecord">
    <vt:lpwstr>eyJoZGlkIjoiNTc0ODZmMWYwNDhlZTYzZDZiZGM0YzNkNzQwZDViNmUiLCJ1c2VySWQiOiIyODE3NzIzMjQifQ==</vt:lpwstr>
  </property>
</Properties>
</file>