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EEE" w:rsidRDefault="00E86EEE" w:rsidP="00E86EEE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  <w:t>附件</w:t>
      </w:r>
      <w:r>
        <w:rPr>
          <w:rFonts w:ascii="Times New Roman" w:eastAsia="等线" w:hAnsi="Times New Roman" w:cs="Times New Roman"/>
          <w:color w:val="000000"/>
          <w:kern w:val="0"/>
          <w:sz w:val="32"/>
          <w:szCs w:val="32"/>
          <w:lang w:bidi="ar"/>
        </w:rPr>
        <w:t>3</w:t>
      </w:r>
    </w:p>
    <w:p w:rsidR="00E86EEE" w:rsidRDefault="00E86EEE" w:rsidP="00E86EEE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江苏省基金会评估指标</w:t>
      </w:r>
    </w:p>
    <w:tbl>
      <w:tblPr>
        <w:tblW w:w="14457" w:type="dxa"/>
        <w:jc w:val="center"/>
        <w:tblLook w:val="04A0" w:firstRow="1" w:lastRow="0" w:firstColumn="1" w:lastColumn="0" w:noHBand="0" w:noVBand="1"/>
      </w:tblPr>
      <w:tblGrid>
        <w:gridCol w:w="696"/>
        <w:gridCol w:w="1184"/>
        <w:gridCol w:w="2072"/>
        <w:gridCol w:w="10505"/>
      </w:tblGrid>
      <w:tr w:rsidR="00E86EEE" w:rsidTr="001F1E4C">
        <w:trPr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指标说明</w:t>
            </w:r>
          </w:p>
        </w:tc>
      </w:tr>
      <w:tr w:rsidR="00E86EEE" w:rsidTr="001F1E4C">
        <w:trPr>
          <w:trHeight w:val="28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党的组织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设立党组织（单建、联建；实体型、功能型）（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党组织班子成员和社会组织党员管理层人员双向进入、交叉任职（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党组织书记由社会组织负责人担任得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分，其他人员担任得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注：党组织应建未建的，不予评为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E86EEE" w:rsidTr="001F1E4C">
        <w:trPr>
          <w:trHeight w:val="370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2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党的工作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加强党员教育管理，落实党的基本组织生活制度，各项活动记录内容完整、格式规范（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注：包括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“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三会一课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”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、主题党日和谈心谈话等制度。实体型党支部还需要落实组织生活会、民主评议党员等制度。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落实意识形态责任制并建立相关制度（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落实党风廉政建设制度，党组织对社会组织重大事项决策、重要业务活动等提出意见（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注：党组织负责人有违规违纪行为的，不予评为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（含）以上等级；未开展党的工作和活动的，不予评为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基础条件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登记备案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按规定办理登记和备案（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登记事项：名称、业务范围、住所、原始基金、法定代表人、业务主管单位。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备案事项：负责人、理事、监事，印章（单位、财务、法定代表人）、银行账户、分支机构、代表机构、公开募捐活动、慈善信托。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注：以上各项，有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项未按规定办理扣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按民政部门及章程示范文本要求，将党的建设及社会主义核心价值观相关内容规范完整写入章程（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登记或认定为慈善组织（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注：组织需提供理事、监事名单以及公开募捐活动、慈善信托备案事项材料。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年检年报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按规定年检年报（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年检合格或年报符合要求（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2312" w:hAnsi="Times New Roman" w:cs="方正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2312" w:hAnsi="Times New Roman" w:cs="方正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注：申报评估年度前两年存在未按规定参加年检年报，或年检结论基本合格、不合格或年报不符合要求情况的，不予评为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2312" w:hAnsi="Times New Roman" w:cs="方正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年末净资产不低于注册资金，且逐年增加（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低于注册资金或未逐年增加得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机构建设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理事会设立、制度建设及履职情况（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会人员构成符合规定；理事无违规取酬情况；建立完善理事会议事决策等相关制度；理事会按时换届，按章程规定召开理事会；理事会履职情况，决定重大业务活动、制定内部管理制度、年度收支预算及决算审定等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监事（会）设立及履职情况（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监事设立符合规定（按规定需要设立监事会的应设立监事会）；监事不在基金会领取报酬；监事（会）制度健全并按规定履职，列席理事会、对基金会财务等进行监督。有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内设机构设立运转情况（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设立秘书处、办公室等内设机构，且职责明确、运转协调。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制度建设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建立健全各项制度且能够规范执行，包括：财务、项目、资产、投资、人事、志愿者、档案印章管理以及信息公开等制度。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注：以上各项，缺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项扣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</w:tc>
      </w:tr>
      <w:tr w:rsidR="00E86EEE" w:rsidTr="001F1E4C">
        <w:trPr>
          <w:trHeight w:val="46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人力资源管理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负责人管理（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负责人届次、年龄符合规定；秘书长专职；退（离）休领导干部兼职符合规定，并按规定履行报批手续。有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专职工作人员管理（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专职工作人员满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分，每少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分；人员结构合理，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周岁以下占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﹪以上、本科以上学历者占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 xml:space="preserve">50% 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以上得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分，扣完为止；积极参加法律法规、业务培训得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 xml:space="preserve"> 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分，申报评估年度前两年有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年未参加扣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专业人才队伍建设（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专职工作人员中，有社工师、会计师等与本基金会业务相关的专业持证人才。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志愿者队伍建设（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建有志愿者队伍，人员稳定、管理规范、作用发挥明显。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注：专职工作人员指建立劳动关系并购买社保的工作人员。返聘、劳动关系在其他单位的工作人员，按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得分。</w:t>
            </w:r>
          </w:p>
        </w:tc>
      </w:tr>
      <w:tr w:rsidR="00E86EEE" w:rsidTr="001F1E4C">
        <w:trPr>
          <w:trHeight w:val="18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合法运营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经费来源和资金使用符合国家政策法规和章程规定（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注：经费来源和资金使用不符合国家政策法规和章程规定的，不予评为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资金列入符合规定的单位账簿（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按规定办理税务登记和申报（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规范使用票据（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E86EEE" w:rsidTr="001F1E4C">
        <w:trPr>
          <w:trHeight w:val="170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9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会计工作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严格执行《民间非营利组织会计制度》（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规范设置会计科目、账册、凭单、内外部报表；记账、会计核算规范；会计报表真实、完整。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会计基础（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会计人员配备合理、专业化；会计核算实行电算化；会计档案管理规范。有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项不符合扣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</w:tc>
      </w:tr>
      <w:tr w:rsidR="00E86EEE" w:rsidTr="001F1E4C">
        <w:trPr>
          <w:trHeight w:val="49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财务管理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编制年度预算且执行情况良好（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捐赠收入管理（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接受捐赠按规定签订捐赠协议；接受非货币捐赠，按规定确定公允价值。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投资管理（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投资符合《慈善组织保值增值投资活动管理暂行办法》规定且经必要决策程序，得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分；年投资回报率（综合年化收益率）达到一年期银行存款利率得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分，超过一个百分点加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分为止。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注：亏损不得分；无投资行为不得分。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资产管理（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资产使用符合规定；固定资产标准和折旧年限确定合理，折旧计提准确。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关联方（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与关联方无违规交易且无有失公平交易行为；关联交易及时披露。</w:t>
            </w:r>
          </w:p>
        </w:tc>
      </w:tr>
      <w:tr w:rsidR="00E86EEE" w:rsidTr="001F1E4C">
        <w:trPr>
          <w:trHeight w:val="30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11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监督审计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年度、换届、离任、重大项目专项审计完整、合规（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注：未发生换届、法定代表人离任，不扣分。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对审计发现的问题整改落实到位（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重大事项向业务主管单位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行业管理部门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党建工作机构报告（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重大事项包括开展评比达标表彰、举办节庆展会论坛、开展重大投资活动等。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捐赠收入规模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以全省相关领域基金会平均水平为参照数，对基金会申报评估年度前两年的捐赠收入情况进行测算得分（具有公开募捐资格、不具有公开募捐资格分别计算）。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得分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=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标准分值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×1.2×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本基金会前两年平均捐赠收入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（本基金会前两年平均捐赠收入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全省平均水平），最高不超过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公益支出规模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以全省相关领域基金会平均水平为参照数，对基金会申报评估年度前两年的公益支出情况进行测算得分（具有公开募捐资格、不具有公开募捐资格分别计算）。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得分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=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标准分值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×1.2×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本基金会前两年平均支出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（本基金会前两年平均支出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全省平均水平），最高不超过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公益项目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项目符合宗旨和业务范围（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建立项目管理制度（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项目受益对象选择公开公正，有确认且信息齐全（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项目立项、实施、监督、反馈、评价、总结、归档等程序完备、材料齐全（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项目长期执行、形成品牌、社会知名度高，被媒体宣传报道（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6.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参与乡村振兴、对口支援协作、长江经济带发展、长三角一体化发展等国家战略及重大决策部署（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申报评估年度前两年开展相关项目得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分；相关项目支出达到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万元（含）得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分，每增加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分为止。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15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信息公开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按照《基金会信息公布办法》《慈善组织信息公开办法》履行信息公开义务（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公开内容包括：基本信息、年度工作报告、接受捐赠信息、资金使用情况、公益项目信息等，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项未公开扣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建立信息公开平台，信息公开渠道多样（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设立新闻发言人（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4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注：慈善组织未按照《慈善组织信息公开办法》履行信息公开义务的，不予评为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社会评价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理事监事评价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对管理状况、综合影响力的评价，评价内容包括对基金会民主决策、领导班子履行职责、财务管理、资金使用、信息公开、社会影响力等方面。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注：所有理事、监事参与评价。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捐赠人评价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对管理状况、综合影响力的评价，选择评估申报年度前两年主要捐赠人开展评价，评价内容包括对基金会公益性、项目效果满意度、社会影响力等方面。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注：主要捐赠人是指年度累计捐赠超过基金会当年捐赠收入</w:t>
            </w:r>
            <w:r>
              <w:rPr>
                <w:rStyle w:val="font51"/>
                <w:rFonts w:eastAsia="方正仿宋_GBK"/>
                <w:color w:val="000000" w:themeColor="text1"/>
                <w:lang w:bidi="ar"/>
              </w:rPr>
              <w:t>5%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以上或者</w:t>
            </w:r>
            <w:r>
              <w:rPr>
                <w:rStyle w:val="font51"/>
                <w:rFonts w:eastAsia="方正仿宋_GBK"/>
                <w:color w:val="000000" w:themeColor="text1"/>
                <w:lang w:bidi="ar"/>
              </w:rPr>
              <w:t>500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万元以上的捐赠单位或个人。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受助人评价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对项目管理、效果的评价，评价内容包括对基金会公正公开选定受助人、履行协议等方面。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注：抽取申报评估年度前两年开展的所有重大项目受助人参与评价，满足以下情形之一的属于重大项目：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该项目的捐赠收入占基金会当年捐赠总收入的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1/5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且金额超过人民币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万元的；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该项目的支出占基金会当年总支出的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1/5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且金额超过人民币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万元的；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项目持续时间在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年以上的（包括</w:t>
            </w:r>
            <w:r>
              <w:rPr>
                <w:rStyle w:val="font51"/>
                <w:rFonts w:eastAsia="等线"/>
                <w:color w:val="000000" w:themeColor="text1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年）。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19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pacing w:val="-1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pacing w:val="-1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spacing w:val="-11"/>
                <w:kern w:val="0"/>
                <w:sz w:val="24"/>
                <w:szCs w:val="24"/>
                <w:lang w:bidi="ar"/>
              </w:rPr>
              <w:t>业务主管单位评价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由业务主管单位对基金会工作进行总体评价。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注：直接登记的基金会，由党建工作机构（或其授权的行业党委、属地党组织）进行评价。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表彰奖励情况</w:t>
            </w:r>
          </w:p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0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政府部门对基金会和公益项目的表彰奖励情况。</w:t>
            </w:r>
          </w:p>
        </w:tc>
      </w:tr>
      <w:tr w:rsidR="00E86EEE" w:rsidTr="001F1E4C">
        <w:trPr>
          <w:trHeight w:val="567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86EEE" w:rsidRDefault="00E86EEE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楷体_GBK" w:hAnsi="Times New Roman" w:cs="方正楷体_GBK"/>
                <w:color w:val="000000" w:themeColor="text1"/>
                <w:kern w:val="0"/>
                <w:sz w:val="24"/>
                <w:szCs w:val="24"/>
                <w:lang w:bidi="ar"/>
              </w:rPr>
              <w:t>注：加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楷体_GBK" w:hAnsi="Times New Roman" w:cs="方正楷体_GBK"/>
                <w:color w:val="000000" w:themeColor="text1"/>
                <w:kern w:val="0"/>
                <w:sz w:val="24"/>
                <w:szCs w:val="24"/>
                <w:lang w:bidi="ar"/>
              </w:rPr>
              <w:t>项指标无需社会组织提供材料。</w:t>
            </w:r>
          </w:p>
        </w:tc>
      </w:tr>
    </w:tbl>
    <w:p w:rsidR="00602F99" w:rsidRPr="00E86EEE" w:rsidRDefault="00602F99">
      <w:bookmarkStart w:id="0" w:name="_GoBack"/>
      <w:bookmarkEnd w:id="0"/>
    </w:p>
    <w:sectPr w:rsidR="00602F99" w:rsidRPr="00E86EEE" w:rsidSect="00E86E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81" w:rsidRDefault="00191D81" w:rsidP="00E86EEE">
      <w:r>
        <w:separator/>
      </w:r>
    </w:p>
  </w:endnote>
  <w:endnote w:type="continuationSeparator" w:id="0">
    <w:p w:rsidR="00191D81" w:rsidRDefault="00191D81" w:rsidP="00E8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81" w:rsidRDefault="00191D81" w:rsidP="00E86EEE">
      <w:r>
        <w:separator/>
      </w:r>
    </w:p>
  </w:footnote>
  <w:footnote w:type="continuationSeparator" w:id="0">
    <w:p w:rsidR="00191D81" w:rsidRDefault="00191D81" w:rsidP="00E86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6A"/>
    <w:rsid w:val="00191D81"/>
    <w:rsid w:val="00602F99"/>
    <w:rsid w:val="00D8196A"/>
    <w:rsid w:val="00E8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D6C07A-45A4-41DF-ACC8-4B6EC737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E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EEE"/>
    <w:rPr>
      <w:sz w:val="18"/>
      <w:szCs w:val="18"/>
    </w:rPr>
  </w:style>
  <w:style w:type="character" w:customStyle="1" w:styleId="font51">
    <w:name w:val="font51"/>
    <w:basedOn w:val="a0"/>
    <w:qFormat/>
    <w:rsid w:val="00E86EEE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2025-06-20T03:17:00Z</dcterms:created>
  <dcterms:modified xsi:type="dcterms:W3CDTF">2025-06-20T03:18:00Z</dcterms:modified>
</cp:coreProperties>
</file>