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1892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default" w:ascii="Times New Roman" w:hAnsi="Times New Roman" w:eastAsia="方正小标宋简体" w:cs="Times New Roman"/>
          <w:b w:val="0"/>
          <w:bCs w:val="0"/>
          <w:spacing w:val="8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8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8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8"/>
          <w:sz w:val="44"/>
          <w:szCs w:val="44"/>
        </w:rPr>
        <w:t>年“茉莉六合”区域公用品牌</w:t>
      </w:r>
    </w:p>
    <w:p w14:paraId="2FDF0BD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0" w:line="240" w:lineRule="auto"/>
        <w:ind w:left="3375" w:right="150" w:hanging="3119"/>
        <w:jc w:val="center"/>
        <w:textAlignment w:val="baseline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7"/>
          <w:sz w:val="44"/>
          <w:szCs w:val="44"/>
        </w:rPr>
        <w:t>建设项目</w:t>
      </w:r>
    </w:p>
    <w:p w14:paraId="10356985">
      <w:pPr>
        <w:spacing w:line="244" w:lineRule="auto"/>
        <w:rPr>
          <w:rFonts w:hint="default" w:ascii="Times New Roman" w:hAnsi="Times New Roman" w:cs="Times New Roman"/>
          <w:sz w:val="21"/>
        </w:rPr>
      </w:pPr>
    </w:p>
    <w:p w14:paraId="0769F62B">
      <w:pPr>
        <w:spacing w:line="244" w:lineRule="auto"/>
        <w:rPr>
          <w:rFonts w:hint="default" w:ascii="Times New Roman" w:hAnsi="Times New Roman" w:cs="Times New Roman"/>
          <w:sz w:val="21"/>
        </w:rPr>
      </w:pPr>
    </w:p>
    <w:p w14:paraId="5D2057DD">
      <w:pPr>
        <w:spacing w:line="244" w:lineRule="auto"/>
        <w:rPr>
          <w:rFonts w:hint="default" w:ascii="Times New Roman" w:hAnsi="Times New Roman" w:cs="Times New Roman"/>
          <w:sz w:val="21"/>
        </w:rPr>
      </w:pPr>
    </w:p>
    <w:p w14:paraId="288D3F0C">
      <w:pPr>
        <w:spacing w:line="244" w:lineRule="auto"/>
        <w:rPr>
          <w:rFonts w:hint="default" w:ascii="Times New Roman" w:hAnsi="Times New Roman" w:cs="Times New Roman"/>
          <w:sz w:val="21"/>
        </w:rPr>
      </w:pPr>
    </w:p>
    <w:p w14:paraId="5E6FD8B5">
      <w:pPr>
        <w:spacing w:line="244" w:lineRule="auto"/>
        <w:rPr>
          <w:rFonts w:hint="default" w:ascii="Times New Roman" w:hAnsi="Times New Roman" w:cs="Times New Roman"/>
          <w:sz w:val="21"/>
        </w:rPr>
      </w:pPr>
    </w:p>
    <w:p w14:paraId="513FC988">
      <w:pPr>
        <w:spacing w:line="244" w:lineRule="auto"/>
        <w:rPr>
          <w:rFonts w:hint="default" w:ascii="Times New Roman" w:hAnsi="Times New Roman" w:cs="Times New Roman"/>
          <w:sz w:val="21"/>
        </w:rPr>
      </w:pPr>
    </w:p>
    <w:p w14:paraId="025DF5A7">
      <w:pPr>
        <w:spacing w:line="244" w:lineRule="auto"/>
        <w:rPr>
          <w:rFonts w:hint="default" w:ascii="Times New Roman" w:hAnsi="Times New Roman" w:cs="Times New Roman"/>
          <w:sz w:val="21"/>
        </w:rPr>
      </w:pPr>
    </w:p>
    <w:p w14:paraId="10CE3ACA">
      <w:pPr>
        <w:spacing w:line="244" w:lineRule="auto"/>
        <w:jc w:val="center"/>
        <w:rPr>
          <w:rFonts w:hint="default" w:ascii="Times New Roman" w:hAnsi="Times New Roman" w:eastAsia="方正黑体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黑体简体" w:cs="Times New Roman"/>
          <w:sz w:val="44"/>
          <w:szCs w:val="44"/>
          <w:lang w:eastAsia="zh-CN"/>
        </w:rPr>
        <w:t>实</w:t>
      </w:r>
    </w:p>
    <w:p w14:paraId="1107BFC8">
      <w:pPr>
        <w:spacing w:line="244" w:lineRule="auto"/>
        <w:jc w:val="center"/>
        <w:rPr>
          <w:rFonts w:hint="default" w:ascii="Times New Roman" w:hAnsi="Times New Roman" w:eastAsia="方正黑体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黑体简体" w:cs="Times New Roman"/>
          <w:sz w:val="44"/>
          <w:szCs w:val="44"/>
          <w:lang w:val="en-US" w:eastAsia="zh-CN"/>
        </w:rPr>
        <w:t xml:space="preserve">  </w:t>
      </w:r>
    </w:p>
    <w:p w14:paraId="1E9A73AA">
      <w:pPr>
        <w:spacing w:line="244" w:lineRule="auto"/>
        <w:jc w:val="center"/>
        <w:rPr>
          <w:rFonts w:hint="default" w:ascii="Times New Roman" w:hAnsi="Times New Roman" w:eastAsia="方正黑体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黑体简体" w:cs="Times New Roman"/>
          <w:sz w:val="44"/>
          <w:szCs w:val="44"/>
          <w:lang w:eastAsia="zh-CN"/>
        </w:rPr>
        <w:t>施</w:t>
      </w:r>
    </w:p>
    <w:p w14:paraId="7224FA07">
      <w:pPr>
        <w:spacing w:line="244" w:lineRule="auto"/>
        <w:jc w:val="center"/>
        <w:rPr>
          <w:rFonts w:hint="default" w:ascii="Times New Roman" w:hAnsi="Times New Roman" w:eastAsia="方正黑体简体" w:cs="Times New Roman"/>
          <w:sz w:val="44"/>
          <w:szCs w:val="44"/>
          <w:lang w:eastAsia="zh-CN"/>
        </w:rPr>
      </w:pPr>
    </w:p>
    <w:p w14:paraId="7CD2C888">
      <w:pPr>
        <w:spacing w:line="244" w:lineRule="auto"/>
        <w:jc w:val="center"/>
        <w:rPr>
          <w:rFonts w:hint="default" w:ascii="Times New Roman" w:hAnsi="Times New Roman" w:eastAsia="方正黑体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黑体简体" w:cs="Times New Roman"/>
          <w:sz w:val="44"/>
          <w:szCs w:val="44"/>
          <w:lang w:eastAsia="zh-CN"/>
        </w:rPr>
        <w:t>方</w:t>
      </w:r>
    </w:p>
    <w:p w14:paraId="252337EA">
      <w:pPr>
        <w:spacing w:line="244" w:lineRule="auto"/>
        <w:jc w:val="center"/>
        <w:rPr>
          <w:rFonts w:hint="default" w:ascii="Times New Roman" w:hAnsi="Times New Roman" w:eastAsia="方正黑体简体" w:cs="Times New Roman"/>
          <w:sz w:val="44"/>
          <w:szCs w:val="44"/>
          <w:lang w:eastAsia="zh-CN"/>
        </w:rPr>
      </w:pPr>
    </w:p>
    <w:p w14:paraId="671FC403">
      <w:pPr>
        <w:spacing w:line="244" w:lineRule="auto"/>
        <w:jc w:val="center"/>
        <w:rPr>
          <w:rFonts w:hint="default" w:ascii="Times New Roman" w:hAnsi="Times New Roman" w:eastAsia="方正黑体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黑体简体" w:cs="Times New Roman"/>
          <w:sz w:val="44"/>
          <w:szCs w:val="44"/>
          <w:lang w:eastAsia="zh-CN"/>
        </w:rPr>
        <w:t>案</w:t>
      </w:r>
    </w:p>
    <w:p w14:paraId="60C9D3E3">
      <w:pPr>
        <w:spacing w:line="244" w:lineRule="auto"/>
        <w:rPr>
          <w:rFonts w:hint="default" w:ascii="Times New Roman" w:hAnsi="Times New Roman" w:cs="Times New Roman"/>
          <w:sz w:val="21"/>
        </w:rPr>
      </w:pPr>
    </w:p>
    <w:p w14:paraId="36835430">
      <w:pPr>
        <w:spacing w:line="244" w:lineRule="auto"/>
        <w:rPr>
          <w:rFonts w:hint="default" w:ascii="Times New Roman" w:hAnsi="Times New Roman" w:cs="Times New Roman"/>
          <w:sz w:val="21"/>
        </w:rPr>
      </w:pPr>
    </w:p>
    <w:p w14:paraId="1562FDCD">
      <w:pPr>
        <w:spacing w:line="244" w:lineRule="auto"/>
        <w:rPr>
          <w:rFonts w:hint="default" w:ascii="Times New Roman" w:hAnsi="Times New Roman" w:cs="Times New Roman"/>
          <w:sz w:val="21"/>
        </w:rPr>
      </w:pPr>
    </w:p>
    <w:p w14:paraId="24241293">
      <w:pPr>
        <w:spacing w:line="244" w:lineRule="auto"/>
        <w:rPr>
          <w:rFonts w:hint="default" w:ascii="Times New Roman" w:hAnsi="Times New Roman" w:cs="Times New Roman"/>
          <w:sz w:val="21"/>
        </w:rPr>
      </w:pPr>
    </w:p>
    <w:p w14:paraId="0047A1FD">
      <w:pPr>
        <w:spacing w:line="244" w:lineRule="auto"/>
        <w:rPr>
          <w:rFonts w:hint="default" w:ascii="Times New Roman" w:hAnsi="Times New Roman" w:cs="Times New Roman"/>
          <w:sz w:val="21"/>
        </w:rPr>
      </w:pPr>
    </w:p>
    <w:p w14:paraId="2ED83C5B">
      <w:pPr>
        <w:spacing w:line="244" w:lineRule="auto"/>
        <w:rPr>
          <w:rFonts w:hint="default" w:ascii="Times New Roman" w:hAnsi="Times New Roman" w:cs="Times New Roman"/>
          <w:sz w:val="21"/>
        </w:rPr>
      </w:pPr>
    </w:p>
    <w:p w14:paraId="62E8E840">
      <w:pPr>
        <w:spacing w:line="244" w:lineRule="auto"/>
        <w:rPr>
          <w:rFonts w:hint="default" w:ascii="Times New Roman" w:hAnsi="Times New Roman" w:cs="Times New Roman"/>
          <w:sz w:val="21"/>
        </w:rPr>
      </w:pPr>
    </w:p>
    <w:p w14:paraId="5EFF8C78">
      <w:pPr>
        <w:spacing w:line="244" w:lineRule="auto"/>
        <w:rPr>
          <w:rFonts w:hint="default" w:ascii="Times New Roman" w:hAnsi="Times New Roman" w:cs="Times New Roman"/>
          <w:sz w:val="21"/>
        </w:rPr>
      </w:pPr>
    </w:p>
    <w:p w14:paraId="60FFF744">
      <w:pPr>
        <w:spacing w:line="244" w:lineRule="auto"/>
        <w:rPr>
          <w:rFonts w:hint="default" w:ascii="Times New Roman" w:hAnsi="Times New Roman" w:cs="Times New Roman"/>
          <w:sz w:val="21"/>
        </w:rPr>
      </w:pPr>
    </w:p>
    <w:p w14:paraId="3DD3FE82">
      <w:pPr>
        <w:spacing w:line="244" w:lineRule="auto"/>
        <w:rPr>
          <w:rFonts w:hint="default" w:ascii="Times New Roman" w:hAnsi="Times New Roman" w:eastAsia="宋体" w:cs="Times New Roman"/>
          <w:sz w:val="21"/>
          <w:lang w:val="en-US" w:eastAsia="zh-CN"/>
        </w:rPr>
      </w:pPr>
    </w:p>
    <w:p w14:paraId="51ADF401">
      <w:pPr>
        <w:spacing w:line="245" w:lineRule="auto"/>
        <w:rPr>
          <w:rFonts w:hint="default" w:ascii="Times New Roman" w:hAnsi="Times New Roman" w:cs="Times New Roman"/>
          <w:sz w:val="21"/>
        </w:rPr>
      </w:pPr>
    </w:p>
    <w:p w14:paraId="7F16E2EA">
      <w:pPr>
        <w:spacing w:line="245" w:lineRule="auto"/>
        <w:rPr>
          <w:rFonts w:hint="default" w:ascii="Times New Roman" w:hAnsi="Times New Roman" w:eastAsia="方正黑体简体" w:cs="Times New Roman"/>
          <w:sz w:val="21"/>
        </w:rPr>
      </w:pPr>
    </w:p>
    <w:p w14:paraId="2A651326">
      <w:pPr>
        <w:pStyle w:val="2"/>
        <w:spacing w:before="98" w:line="218" w:lineRule="auto"/>
        <w:ind w:firstLine="1074" w:firstLineChars="300"/>
        <w:jc w:val="left"/>
        <w:rPr>
          <w:rFonts w:hint="default" w:ascii="Times New Roman" w:hAnsi="Times New Roman" w:eastAsia="方正仿宋简体" w:cs="Times New Roman"/>
          <w:spacing w:val="-4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9"/>
          <w:sz w:val="32"/>
          <w:szCs w:val="32"/>
        </w:rPr>
        <w:t>项目名称：</w:t>
      </w:r>
      <w:r>
        <w:rPr>
          <w:rFonts w:hint="default" w:ascii="Times New Roman" w:hAnsi="Times New Roman" w:eastAsia="方正仿宋简体" w:cs="Times New Roman"/>
          <w:spacing w:val="0"/>
          <w:sz w:val="32"/>
          <w:szCs w:val="32"/>
        </w:rPr>
        <w:t>202</w:t>
      </w:r>
      <w:r>
        <w:rPr>
          <w:rFonts w:hint="default" w:ascii="Times New Roman" w:hAnsi="Times New Roman" w:eastAsia="方正仿宋简体" w:cs="Times New Roman"/>
          <w:spacing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spacing w:val="0"/>
          <w:sz w:val="32"/>
          <w:szCs w:val="32"/>
        </w:rPr>
        <w:t>年“茉莉六合”区域公用品牌建设项目</w:t>
      </w:r>
    </w:p>
    <w:p w14:paraId="42BCE59B">
      <w:pPr>
        <w:pStyle w:val="2"/>
        <w:spacing w:before="180" w:line="221" w:lineRule="auto"/>
        <w:ind w:firstLine="1074" w:firstLineChars="300"/>
        <w:jc w:val="both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_GB18030" w:cs="Times New Roman"/>
          <w:spacing w:val="19"/>
          <w:sz w:val="32"/>
          <w:szCs w:val="32"/>
        </w:rPr>
        <w:t>实施单位：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茉莉六合（南京）电子商务有限公司</w:t>
      </w:r>
    </w:p>
    <w:p w14:paraId="641D7994">
      <w:pPr>
        <w:pStyle w:val="2"/>
        <w:spacing w:before="191" w:line="222" w:lineRule="auto"/>
        <w:ind w:firstLine="1068" w:firstLineChars="300"/>
        <w:jc w:val="both"/>
        <w:rPr>
          <w:rFonts w:hint="default" w:ascii="Times New Roman" w:hAnsi="Times New Roman" w:eastAsia="方正仿宋简体" w:cs="Times New Roman"/>
          <w:spacing w:val="19"/>
          <w:sz w:val="32"/>
          <w:szCs w:val="32"/>
        </w:rPr>
      </w:pPr>
      <w:r>
        <w:rPr>
          <w:rFonts w:hint="default" w:ascii="Times New Roman" w:hAnsi="Times New Roman" w:eastAsia="方正仿宋_GB18030" w:cs="Times New Roman"/>
          <w:spacing w:val="18"/>
          <w:sz w:val="32"/>
          <w:szCs w:val="32"/>
        </w:rPr>
        <w:t>主管部门：</w:t>
      </w:r>
      <w:r>
        <w:rPr>
          <w:rFonts w:hint="default" w:ascii="Times New Roman" w:hAnsi="Times New Roman" w:eastAsia="方正仿宋简体" w:cs="Times New Roman"/>
          <w:spacing w:val="19"/>
          <w:sz w:val="32"/>
          <w:szCs w:val="32"/>
        </w:rPr>
        <w:t>南京市六合区农业农村局</w:t>
      </w:r>
    </w:p>
    <w:p w14:paraId="358130F8">
      <w:pPr>
        <w:rPr>
          <w:rFonts w:hint="default" w:ascii="Times New Roman" w:hAnsi="Times New Roman" w:cs="Times New Roman"/>
        </w:rPr>
      </w:pPr>
    </w:p>
    <w:p w14:paraId="39683865">
      <w:pPr>
        <w:rPr>
          <w:rFonts w:hint="default" w:ascii="Times New Roman" w:hAnsi="Times New Roman" w:cs="Times New Roman"/>
        </w:rPr>
      </w:pPr>
    </w:p>
    <w:p w14:paraId="4A71843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 xml:space="preserve">一 </w:t>
      </w:r>
      <w:r>
        <w:rPr>
          <w:rFonts w:hint="default" w:ascii="Times New Roman" w:hAnsi="Times New Roman" w:eastAsia="方正黑体简体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黑体简体" w:cs="Times New Roman"/>
          <w:sz w:val="32"/>
          <w:szCs w:val="32"/>
        </w:rPr>
        <w:t>工作目标</w:t>
      </w:r>
    </w:p>
    <w:p w14:paraId="68FC77F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持续打造 “茉莉六合” 区域公用品牌，巩固现有渠道、优化宣传方式、提升品牌管理效能，在控制预算、精简高效、聚焦实效前提下，为区内农业经营主体搭建稳定产销对接平台，保障品牌良性运营、农产品稳定销售，实现经济效益与社会效益稳步提升。</w:t>
      </w:r>
    </w:p>
    <w:p w14:paraId="70F67F5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二、实施主体</w:t>
      </w:r>
    </w:p>
    <w:p w14:paraId="2F5A163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茉莉六合（南京）电子商务有限公司</w:t>
      </w:r>
    </w:p>
    <w:p w14:paraId="413CC1C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三、实施内容</w:t>
      </w:r>
    </w:p>
    <w:p w14:paraId="1533857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方正楷体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简体" w:cs="Times New Roman"/>
          <w:sz w:val="32"/>
          <w:szCs w:val="32"/>
          <w:lang w:val="en-US" w:eastAsia="zh-CN"/>
        </w:rPr>
        <w:t>（一）品牌传播和推广（50万元）</w:t>
      </w:r>
    </w:p>
    <w:p w14:paraId="5A66651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1.组织参加各类展会或推介等活动不低于5场；</w:t>
      </w:r>
    </w:p>
    <w:p w14:paraId="449928B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2.策划“茉莉六合”品牌进机关、商场和社区等场所，开展系列促销活动不低于5场次；</w:t>
      </w:r>
    </w:p>
    <w:p w14:paraId="1898C19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3.发布宣传报道20篇。</w:t>
      </w:r>
    </w:p>
    <w:p w14:paraId="16259FC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方正楷体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简体" w:cs="Times New Roman"/>
          <w:sz w:val="32"/>
          <w:szCs w:val="32"/>
          <w:lang w:val="en-US" w:eastAsia="zh-CN"/>
        </w:rPr>
        <w:t>（二）品牌安全与创新营销（30万元）</w:t>
      </w:r>
    </w:p>
    <w:p w14:paraId="0F4DFDE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1.全年农产品抽检次数不低于50批次；</w:t>
      </w:r>
    </w:p>
    <w:p w14:paraId="493B156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2.与授权主体联合设计开发新产品5款，IP形象1个；</w:t>
      </w:r>
    </w:p>
    <w:p w14:paraId="4F3B43F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3.紧扣二十四节气创新品牌营销，发布小红书等网络平台种草推文100条以上，开展助农直播带货10次以上。</w:t>
      </w:r>
    </w:p>
    <w:p w14:paraId="4752C13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方正楷体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简体" w:cs="Times New Roman"/>
          <w:sz w:val="32"/>
          <w:szCs w:val="32"/>
          <w:lang w:val="en-US" w:eastAsia="zh-CN"/>
        </w:rPr>
        <w:t>（一）资金来源</w:t>
      </w:r>
    </w:p>
    <w:p w14:paraId="57CC31B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项目总投资（入）80万元，其中：市级财政补助资金80万元，自筹0万元。资金明细如下表：</w:t>
      </w:r>
    </w:p>
    <w:p w14:paraId="68F944E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方正楷体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简体" w:cs="Times New Roman"/>
          <w:sz w:val="32"/>
          <w:szCs w:val="32"/>
          <w:lang w:val="en-US" w:eastAsia="zh-CN"/>
        </w:rPr>
        <w:t>（二）明细预算</w:t>
      </w:r>
    </w:p>
    <w:tbl>
      <w:tblPr>
        <w:tblStyle w:val="3"/>
        <w:tblW w:w="48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97"/>
        <w:gridCol w:w="1844"/>
        <w:gridCol w:w="1729"/>
        <w:gridCol w:w="1749"/>
      </w:tblGrid>
      <w:tr w14:paraId="7605C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36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6042E">
            <w:pPr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实施内容</w:t>
            </w:r>
          </w:p>
        </w:tc>
        <w:tc>
          <w:tcPr>
            <w:tcW w:w="53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62E45">
            <w:pPr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资  金  来  源</w:t>
            </w:r>
          </w:p>
        </w:tc>
      </w:tr>
      <w:tr w14:paraId="20D7C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36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71C4B">
            <w:pPr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56522">
            <w:pPr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CEA11">
            <w:pPr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市级财政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A6E02">
            <w:pPr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单位自筹</w:t>
            </w:r>
          </w:p>
        </w:tc>
      </w:tr>
      <w:tr w14:paraId="4185B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36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A8E34">
            <w:pPr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4F170">
            <w:pPr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80</w:t>
            </w: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4654C">
            <w:pPr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80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7AF2E">
            <w:pPr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 w14:paraId="1B505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3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50F02">
            <w:pPr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品牌传播和推广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0242C">
            <w:pPr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50</w:t>
            </w: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00AC6">
            <w:pPr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50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D42F4">
            <w:pPr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0</w:t>
            </w:r>
          </w:p>
        </w:tc>
      </w:tr>
      <w:tr w14:paraId="2C6AD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3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DCE6B">
            <w:pPr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品牌安全与创新营销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3A768">
            <w:pPr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A6882">
            <w:pPr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FF426">
            <w:pPr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0</w:t>
            </w:r>
          </w:p>
        </w:tc>
      </w:tr>
    </w:tbl>
    <w:p w14:paraId="65533D2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方正黑体简体" w:cs="Times New Roman"/>
          <w:sz w:val="32"/>
          <w:szCs w:val="32"/>
          <w:lang w:val="en-US" w:eastAsia="en-US"/>
        </w:rPr>
      </w:pPr>
      <w:r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  <w:t>五、</w:t>
      </w:r>
      <w:r>
        <w:rPr>
          <w:rFonts w:hint="default" w:ascii="Times New Roman" w:hAnsi="Times New Roman" w:eastAsia="方正黑体简体" w:cs="Times New Roman"/>
          <w:sz w:val="32"/>
          <w:szCs w:val="32"/>
          <w:lang w:val="en-US" w:eastAsia="en-US"/>
        </w:rPr>
        <w:t>实施进度</w:t>
      </w:r>
    </w:p>
    <w:p w14:paraId="5904F5A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本项目实施期限为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年，时间自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2026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月起至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2027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月止，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2027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月整理材料申请验收。</w:t>
      </w:r>
    </w:p>
    <w:p w14:paraId="74B2684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方正黑体简体" w:cs="Times New Roman"/>
          <w:sz w:val="32"/>
          <w:szCs w:val="32"/>
          <w:lang w:val="en-US" w:eastAsia="en-US"/>
        </w:rPr>
      </w:pPr>
      <w:r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  <w:t>六、</w:t>
      </w:r>
      <w:r>
        <w:rPr>
          <w:rFonts w:hint="default" w:ascii="Times New Roman" w:hAnsi="Times New Roman" w:eastAsia="方正黑体简体" w:cs="Times New Roman"/>
          <w:sz w:val="32"/>
          <w:szCs w:val="32"/>
          <w:lang w:val="en-US" w:eastAsia="en-US"/>
        </w:rPr>
        <w:t>绩效目标</w:t>
      </w:r>
    </w:p>
    <w:tbl>
      <w:tblPr>
        <w:tblStyle w:val="3"/>
        <w:tblW w:w="91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1651"/>
        <w:gridCol w:w="2139"/>
        <w:gridCol w:w="2951"/>
        <w:gridCol w:w="1824"/>
      </w:tblGrid>
      <w:tr w14:paraId="68576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90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F7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BF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83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EC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指标值</w:t>
            </w:r>
          </w:p>
        </w:tc>
      </w:tr>
      <w:tr w14:paraId="2EBD0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80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A6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28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C5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品牌产品质量安全检测批次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EE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≥50批次</w:t>
            </w:r>
          </w:p>
        </w:tc>
      </w:tr>
      <w:tr w14:paraId="43627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0B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63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D9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AE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举办或参加农产品展销活动场次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4A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≥10场</w:t>
            </w:r>
          </w:p>
        </w:tc>
      </w:tr>
      <w:tr w14:paraId="4CFAF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31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44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满意度指标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3F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服务对象满意度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C4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授权主体满意率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79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≥95%</w:t>
            </w:r>
          </w:p>
        </w:tc>
      </w:tr>
    </w:tbl>
    <w:p w14:paraId="2FA631A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  <w:t>七、组织管理</w:t>
      </w:r>
    </w:p>
    <w:p w14:paraId="6A5874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项目建设管理:严格按照项目要求及验收标准，优化资源配置，强化管理，控制成本;由专人负责管理和监督、全程跟踪、严格把关，确保按质按量按时完成项目预定目标任务，并顺利通过验收。</w:t>
      </w:r>
    </w:p>
    <w:p w14:paraId="4CD7CD1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八</w:t>
      </w:r>
      <w:r>
        <w:rPr>
          <w:rFonts w:hint="default" w:ascii="方正黑体简体" w:hAnsi="方正黑体简体" w:eastAsia="方正黑体简体" w:cs="方正黑体简体"/>
          <w:sz w:val="32"/>
          <w:szCs w:val="32"/>
        </w:rPr>
        <w:t>、项目</w:t>
      </w: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小组成员</w:t>
      </w:r>
    </w:p>
    <w:p w14:paraId="04B0AF9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38" w:leftChars="304" w:firstLine="0" w:firstLineChars="0"/>
        <w:textAlignment w:val="baseline"/>
        <w:rPr>
          <w:rFonts w:hint="eastAsia" w:ascii="Times New Roman" w:hAnsi="Times New Roman" w:eastAsia="方正仿宋简体" w:cs="Times New Roman"/>
          <w:spacing w:val="-2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en-US"/>
        </w:rPr>
        <w:t xml:space="preserve">组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en-US"/>
        </w:rPr>
        <w:t>长：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李小兵</w:t>
      </w:r>
      <w:r>
        <w:rPr>
          <w:rFonts w:hint="eastAsia" w:ascii="Times New Roman" w:hAnsi="Times New Roman" w:eastAsia="方正仿宋简体" w:cs="Times New Roman"/>
          <w:spacing w:val="-2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spacing w:val="-20"/>
          <w:sz w:val="32"/>
          <w:szCs w:val="32"/>
          <w:lang w:val="en-US" w:eastAsia="zh-CN"/>
        </w:rPr>
        <w:t>茉莉六合（南京）</w:t>
      </w:r>
      <w:r>
        <w:rPr>
          <w:rFonts w:hint="eastAsia" w:ascii="Times New Roman" w:hAnsi="Times New Roman" w:eastAsia="方正仿宋简体" w:cs="Times New Roman"/>
          <w:spacing w:val="-20"/>
          <w:sz w:val="32"/>
          <w:szCs w:val="32"/>
          <w:lang w:val="en-US" w:eastAsia="zh-CN"/>
        </w:rPr>
        <w:t>电子商务</w:t>
      </w:r>
      <w:r>
        <w:rPr>
          <w:rFonts w:hint="default" w:ascii="Times New Roman" w:hAnsi="Times New Roman" w:eastAsia="方正仿宋简体" w:cs="Times New Roman"/>
          <w:spacing w:val="-20"/>
          <w:sz w:val="32"/>
          <w:szCs w:val="32"/>
          <w:lang w:val="en-US" w:eastAsia="zh-CN"/>
        </w:rPr>
        <w:t>有限</w:t>
      </w:r>
      <w:r>
        <w:rPr>
          <w:rFonts w:hint="eastAsia" w:ascii="Times New Roman" w:hAnsi="Times New Roman" w:eastAsia="方正仿宋简体" w:cs="Times New Roman"/>
          <w:spacing w:val="-20"/>
          <w:sz w:val="32"/>
          <w:szCs w:val="32"/>
          <w:lang w:val="en-US" w:eastAsia="zh-CN"/>
        </w:rPr>
        <w:t>公司总经理</w:t>
      </w:r>
    </w:p>
    <w:p w14:paraId="2398140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38" w:leftChars="304" w:firstLine="0" w:firstLineChars="0"/>
        <w:textAlignment w:val="baseline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en-US"/>
        </w:rPr>
        <w:t>副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en-US"/>
        </w:rPr>
        <w:t>组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en-US"/>
        </w:rPr>
        <w:t>长：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朱家栋</w:t>
      </w:r>
      <w:r>
        <w:rPr>
          <w:rFonts w:hint="eastAsia" w:ascii="Times New Roman" w:hAnsi="Times New Roman" w:eastAsia="方正仿宋简体" w:cs="Times New Roman"/>
          <w:spacing w:val="-2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spacing w:val="-20"/>
          <w:sz w:val="32"/>
          <w:szCs w:val="32"/>
          <w:lang w:val="en-US" w:eastAsia="zh-CN"/>
        </w:rPr>
        <w:t>茉莉六合（南京）</w:t>
      </w:r>
      <w:r>
        <w:rPr>
          <w:rFonts w:hint="eastAsia" w:ascii="Times New Roman" w:hAnsi="Times New Roman" w:eastAsia="方正仿宋简体" w:cs="Times New Roman"/>
          <w:spacing w:val="-20"/>
          <w:sz w:val="32"/>
          <w:szCs w:val="32"/>
          <w:lang w:val="en-US" w:eastAsia="zh-CN"/>
        </w:rPr>
        <w:t>电子商务</w:t>
      </w:r>
      <w:r>
        <w:rPr>
          <w:rFonts w:hint="default" w:ascii="Times New Roman" w:hAnsi="Times New Roman" w:eastAsia="方正仿宋简体" w:cs="Times New Roman"/>
          <w:spacing w:val="-20"/>
          <w:sz w:val="32"/>
          <w:szCs w:val="32"/>
          <w:lang w:val="en-US" w:eastAsia="zh-CN"/>
        </w:rPr>
        <w:t>有限</w:t>
      </w:r>
      <w:r>
        <w:rPr>
          <w:rFonts w:hint="eastAsia" w:ascii="Times New Roman" w:hAnsi="Times New Roman" w:eastAsia="方正仿宋简体" w:cs="Times New Roman"/>
          <w:spacing w:val="-20"/>
          <w:sz w:val="32"/>
          <w:szCs w:val="32"/>
          <w:lang w:val="en-US" w:eastAsia="zh-CN"/>
        </w:rPr>
        <w:t>公司</w:t>
      </w:r>
      <w:r>
        <w:rPr>
          <w:rFonts w:hint="default" w:ascii="Times New Roman" w:hAnsi="Times New Roman" w:eastAsia="方正仿宋简体" w:cs="Times New Roman"/>
          <w:spacing w:val="-20"/>
          <w:sz w:val="32"/>
          <w:szCs w:val="32"/>
          <w:lang w:val="en-US" w:eastAsia="zh-CN"/>
        </w:rPr>
        <w:t>工作人员</w:t>
      </w:r>
    </w:p>
    <w:p w14:paraId="1192A37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组    员：孙艺珊</w:t>
      </w:r>
      <w:r>
        <w:rPr>
          <w:rFonts w:hint="eastAsia" w:ascii="Times New Roman" w:hAnsi="Times New Roman" w:eastAsia="方正仿宋简体" w:cs="Times New Roman"/>
          <w:spacing w:val="-2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spacing w:val="-20"/>
          <w:sz w:val="32"/>
          <w:szCs w:val="32"/>
          <w:lang w:val="en-US" w:eastAsia="zh-CN"/>
        </w:rPr>
        <w:t>茉莉六合（南京）</w:t>
      </w:r>
      <w:r>
        <w:rPr>
          <w:rFonts w:hint="eastAsia" w:ascii="Times New Roman" w:hAnsi="Times New Roman" w:eastAsia="方正仿宋简体" w:cs="Times New Roman"/>
          <w:spacing w:val="-20"/>
          <w:sz w:val="32"/>
          <w:szCs w:val="32"/>
          <w:lang w:val="en-US" w:eastAsia="zh-CN"/>
        </w:rPr>
        <w:t>电子商务</w:t>
      </w:r>
      <w:r>
        <w:rPr>
          <w:rFonts w:hint="default" w:ascii="Times New Roman" w:hAnsi="Times New Roman" w:eastAsia="方正仿宋简体" w:cs="Times New Roman"/>
          <w:spacing w:val="-20"/>
          <w:sz w:val="32"/>
          <w:szCs w:val="32"/>
          <w:lang w:val="en-US" w:eastAsia="zh-CN"/>
        </w:rPr>
        <w:t>有限</w:t>
      </w:r>
      <w:r>
        <w:rPr>
          <w:rFonts w:hint="eastAsia" w:ascii="Times New Roman" w:hAnsi="Times New Roman" w:eastAsia="方正仿宋简体" w:cs="Times New Roman"/>
          <w:spacing w:val="-20"/>
          <w:sz w:val="32"/>
          <w:szCs w:val="32"/>
          <w:lang w:val="en-US" w:eastAsia="zh-CN"/>
        </w:rPr>
        <w:t>公司</w:t>
      </w:r>
      <w:r>
        <w:rPr>
          <w:rFonts w:hint="default" w:ascii="Times New Roman" w:hAnsi="Times New Roman" w:eastAsia="方正仿宋简体" w:cs="Times New Roman"/>
          <w:spacing w:val="-20"/>
          <w:sz w:val="32"/>
          <w:szCs w:val="32"/>
          <w:lang w:val="en-US" w:eastAsia="zh-CN"/>
        </w:rPr>
        <w:t>工作人员</w:t>
      </w:r>
    </w:p>
    <w:p w14:paraId="0E9282E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 xml:space="preserve">         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方久红</w:t>
      </w:r>
      <w:r>
        <w:rPr>
          <w:rFonts w:hint="eastAsia" w:ascii="Times New Roman" w:hAnsi="Times New Roman" w:eastAsia="方正仿宋简体" w:cs="Times New Roman"/>
          <w:spacing w:val="-2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spacing w:val="-20"/>
          <w:sz w:val="32"/>
          <w:szCs w:val="32"/>
          <w:lang w:val="en-US" w:eastAsia="zh-CN"/>
        </w:rPr>
        <w:t>茉莉六合（南京）</w:t>
      </w:r>
      <w:r>
        <w:rPr>
          <w:rFonts w:hint="eastAsia" w:ascii="Times New Roman" w:hAnsi="Times New Roman" w:eastAsia="方正仿宋简体" w:cs="Times New Roman"/>
          <w:spacing w:val="-20"/>
          <w:sz w:val="32"/>
          <w:szCs w:val="32"/>
          <w:lang w:val="en-US" w:eastAsia="zh-CN"/>
        </w:rPr>
        <w:t>电子商务</w:t>
      </w:r>
      <w:r>
        <w:rPr>
          <w:rFonts w:hint="default" w:ascii="Times New Roman" w:hAnsi="Times New Roman" w:eastAsia="方正仿宋简体" w:cs="Times New Roman"/>
          <w:spacing w:val="-20"/>
          <w:sz w:val="32"/>
          <w:szCs w:val="32"/>
          <w:lang w:val="en-US" w:eastAsia="zh-CN"/>
        </w:rPr>
        <w:t>有限</w:t>
      </w:r>
      <w:r>
        <w:rPr>
          <w:rFonts w:hint="eastAsia" w:ascii="Times New Roman" w:hAnsi="Times New Roman" w:eastAsia="方正仿宋简体" w:cs="Times New Roman"/>
          <w:spacing w:val="-20"/>
          <w:sz w:val="32"/>
          <w:szCs w:val="32"/>
          <w:lang w:val="en-US" w:eastAsia="zh-CN"/>
        </w:rPr>
        <w:t>公司</w:t>
      </w:r>
      <w:r>
        <w:rPr>
          <w:rFonts w:hint="default" w:ascii="Times New Roman" w:hAnsi="Times New Roman" w:eastAsia="方正仿宋简体" w:cs="Times New Roman"/>
          <w:spacing w:val="-20"/>
          <w:sz w:val="32"/>
          <w:szCs w:val="32"/>
          <w:lang w:val="en-US" w:eastAsia="zh-CN"/>
        </w:rPr>
        <w:t>工作人员</w:t>
      </w:r>
    </w:p>
    <w:p w14:paraId="05F9FF3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p w14:paraId="29C4722A"/>
    <w:sectPr>
      <w:pgSz w:w="12080" w:h="16980"/>
      <w:pgMar w:top="2098" w:right="1474" w:bottom="1984" w:left="15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18030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661AF7"/>
    <w:rsid w:val="004C691F"/>
    <w:rsid w:val="00CB1216"/>
    <w:rsid w:val="0462603D"/>
    <w:rsid w:val="18891FE1"/>
    <w:rsid w:val="204679A6"/>
    <w:rsid w:val="30661AF7"/>
    <w:rsid w:val="3F9328A1"/>
    <w:rsid w:val="51305DFD"/>
    <w:rsid w:val="5D862703"/>
    <w:rsid w:val="6B036D73"/>
    <w:rsid w:val="6E07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991</Words>
  <Characters>1044</Characters>
  <Lines>0</Lines>
  <Paragraphs>0</Paragraphs>
  <TotalTime>5</TotalTime>
  <ScaleCrop>false</ScaleCrop>
  <LinksUpToDate>false</LinksUpToDate>
  <CharactersWithSpaces>1083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2026-04-24T02:51:00Z</dcterms:created>
  <dc:creator>艺珊艺珊亮晶晶</dc:creator>
  <cp:lastModifiedBy>秀逗</cp:lastModifiedBy>
  <cp:lastPrinted>2026-05-18T06:58:00Z</cp:lastPrinted>
  <dcterms:modified xsi:type="dcterms:W3CDTF">2026-08-10T08:45:30Z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10CE732EF5774ADF819D6E983D9B4C26_13</vt:lpwstr>
  </property>
  <property fmtid="{D5CDD505-2E9C-101B-9397-08002B2CF9AE}" pid="4" name="KSOTemplateDocerSaveRecord">
    <vt:lpwstr>eyJoZGlkIjoiNTc0ODZmMWYwNDhlZTYzZDZiZGM0YzNkNzQwZDViNmUiLCJ1c2VySWQiOiIyODE3NzIzMjQifQ==</vt:lpwstr>
  </property>
</Properties>
</file>