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38C2F">
      <w:pPr>
        <w:keepNext w:val="0"/>
        <w:keepLines w:val="0"/>
        <w:pageBreakBefore w:val="0"/>
        <w:widowControl w:val="0"/>
        <w:kinsoku/>
        <w:wordWrap/>
        <w:overflowPunct/>
        <w:topLinePunct w:val="0"/>
        <w:autoSpaceDE w:val="0"/>
        <w:autoSpaceDN w:val="0"/>
        <w:bidi w:val="0"/>
        <w:adjustRightInd/>
        <w:snapToGrid/>
        <w:spacing w:line="560" w:lineRule="exact"/>
        <w:jc w:val="left"/>
        <w:textAlignment w:val="auto"/>
        <w:rPr>
          <w:rFonts w:hint="eastAsia" w:ascii="Times New Roman" w:hAnsi="Times New Roman" w:eastAsia="方正仿宋简体" w:cs="Times New Roman"/>
          <w:kern w:val="2"/>
          <w:sz w:val="32"/>
          <w:szCs w:val="32"/>
          <w:lang w:val="en-US" w:eastAsia="zh-CN" w:bidi="ar-SA"/>
        </w:rPr>
      </w:pPr>
      <w:bookmarkStart w:id="1" w:name="_GoBack"/>
      <w:bookmarkEnd w:id="1"/>
      <w:r>
        <w:rPr>
          <w:rFonts w:hint="eastAsia" w:ascii="Times New Roman" w:hAnsi="Times New Roman" w:eastAsia="方正仿宋简体" w:cs="Times New Roman"/>
          <w:kern w:val="2"/>
          <w:sz w:val="32"/>
          <w:szCs w:val="32"/>
          <w:lang w:val="en-US" w:eastAsia="zh-CN" w:bidi="ar-SA"/>
        </w:rPr>
        <w:t>附件</w:t>
      </w:r>
    </w:p>
    <w:p w14:paraId="71F2C62E">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kern w:val="0"/>
          <w:sz w:val="44"/>
          <w:szCs w:val="44"/>
          <w:lang w:bidi="ar"/>
        </w:rPr>
      </w:pPr>
      <w:r>
        <w:rPr>
          <w:rFonts w:hint="eastAsia" w:ascii="方正小标宋简体" w:hAnsi="方正小标宋简体" w:eastAsia="方正小标宋简体" w:cs="方正小标宋简体"/>
          <w:kern w:val="0"/>
          <w:sz w:val="44"/>
          <w:szCs w:val="44"/>
          <w:lang w:bidi="ar"/>
        </w:rPr>
        <w:t>2026年六合区化肥减量增效与耕地质量</w:t>
      </w:r>
    </w:p>
    <w:p w14:paraId="61B8EBD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kern w:val="0"/>
          <w:sz w:val="44"/>
          <w:szCs w:val="44"/>
          <w:lang w:bidi="ar"/>
        </w:rPr>
        <w:t>监测评价项目实施方案</w:t>
      </w:r>
    </w:p>
    <w:p w14:paraId="03AB4E41">
      <w:pPr>
        <w:widowControl/>
        <w:adjustRightInd w:val="0"/>
        <w:snapToGrid w:val="0"/>
        <w:spacing w:line="540" w:lineRule="exact"/>
        <w:ind w:firstLine="640" w:firstLineChars="200"/>
        <w:textAlignment w:val="baseline"/>
        <w:rPr>
          <w:rFonts w:hint="eastAsia"/>
          <w:color w:val="000000"/>
        </w:rPr>
      </w:pPr>
    </w:p>
    <w:p w14:paraId="66C5D8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rPr>
      </w:pPr>
      <w:r>
        <w:rPr>
          <w:rFonts w:hint="eastAsia" w:eastAsia="方正仿宋简体" w:cs="Times New Roman"/>
          <w:b w:val="0"/>
          <w:i w:val="0"/>
          <w:caps w:val="0"/>
          <w:spacing w:val="0"/>
          <w:w w:val="100"/>
          <w:kern w:val="0"/>
          <w:sz w:val="32"/>
          <w:szCs w:val="32"/>
          <w:highlight w:val="none"/>
          <w:lang w:val="en-US" w:eastAsia="zh-CN" w:bidi="ar-SA"/>
        </w:rPr>
        <w:t>根据《关于下达2026年中央农业相关转移支付预算资金的通知》（宁农计</w:t>
      </w:r>
      <w:r>
        <w:rPr>
          <w:rFonts w:hint="default" w:ascii="Times New Roman" w:hAnsi="Times New Roman" w:eastAsia="方正仿宋简体" w:cs="Times New Roman"/>
          <w:b w:val="0"/>
          <w:i w:val="0"/>
          <w:caps w:val="0"/>
          <w:spacing w:val="0"/>
          <w:w w:val="100"/>
          <w:kern w:val="0"/>
          <w:sz w:val="32"/>
          <w:szCs w:val="32"/>
          <w:highlight w:val="none"/>
          <w:lang w:val="en-US" w:eastAsia="zh-CN" w:bidi="ar-SA"/>
        </w:rPr>
        <w:t>〔202</w:t>
      </w:r>
      <w:r>
        <w:rPr>
          <w:rFonts w:hint="eastAsia" w:eastAsia="方正仿宋简体" w:cs="Times New Roman"/>
          <w:b w:val="0"/>
          <w:i w:val="0"/>
          <w:caps w:val="0"/>
          <w:spacing w:val="0"/>
          <w:w w:val="100"/>
          <w:kern w:val="0"/>
          <w:sz w:val="32"/>
          <w:szCs w:val="32"/>
          <w:highlight w:val="none"/>
          <w:lang w:val="en-US" w:eastAsia="zh-CN" w:bidi="ar-SA"/>
        </w:rPr>
        <w:t>6</w:t>
      </w:r>
      <w:r>
        <w:rPr>
          <w:rFonts w:hint="default" w:ascii="Times New Roman" w:hAnsi="Times New Roman" w:eastAsia="方正仿宋简体" w:cs="Times New Roman"/>
          <w:b w:val="0"/>
          <w:i w:val="0"/>
          <w:caps w:val="0"/>
          <w:spacing w:val="0"/>
          <w:w w:val="100"/>
          <w:kern w:val="0"/>
          <w:sz w:val="32"/>
          <w:szCs w:val="32"/>
          <w:highlight w:val="none"/>
          <w:lang w:val="en-US" w:eastAsia="zh-CN" w:bidi="ar-SA"/>
        </w:rPr>
        <w:t>〕</w:t>
      </w:r>
      <w:r>
        <w:rPr>
          <w:rFonts w:hint="eastAsia" w:eastAsia="方正仿宋简体" w:cs="Times New Roman"/>
          <w:b w:val="0"/>
          <w:i w:val="0"/>
          <w:caps w:val="0"/>
          <w:spacing w:val="0"/>
          <w:w w:val="100"/>
          <w:kern w:val="0"/>
          <w:sz w:val="32"/>
          <w:szCs w:val="32"/>
          <w:highlight w:val="none"/>
          <w:lang w:val="en-US" w:eastAsia="zh-CN" w:bidi="ar-SA"/>
        </w:rPr>
        <w:t>18</w:t>
      </w:r>
      <w:r>
        <w:rPr>
          <w:rFonts w:hint="default" w:ascii="Times New Roman" w:hAnsi="Times New Roman" w:eastAsia="方正仿宋简体" w:cs="Times New Roman"/>
          <w:b w:val="0"/>
          <w:i w:val="0"/>
          <w:caps w:val="0"/>
          <w:spacing w:val="0"/>
          <w:w w:val="100"/>
          <w:kern w:val="0"/>
          <w:sz w:val="32"/>
          <w:szCs w:val="32"/>
          <w:highlight w:val="none"/>
          <w:lang w:val="en-US" w:eastAsia="zh-CN" w:bidi="ar-SA"/>
        </w:rPr>
        <w:t>号</w:t>
      </w:r>
      <w:r>
        <w:rPr>
          <w:rFonts w:hint="eastAsia" w:eastAsia="方正仿宋简体" w:cs="Times New Roman"/>
          <w:b w:val="0"/>
          <w:i w:val="0"/>
          <w:caps w:val="0"/>
          <w:spacing w:val="0"/>
          <w:w w:val="100"/>
          <w:kern w:val="0"/>
          <w:sz w:val="32"/>
          <w:szCs w:val="32"/>
          <w:highlight w:val="none"/>
          <w:lang w:val="en-US" w:eastAsia="zh-CN" w:bidi="ar-SA"/>
        </w:rPr>
        <w:t>）、</w:t>
      </w:r>
      <w:r>
        <w:rPr>
          <w:rFonts w:hint="default" w:ascii="Times New Roman" w:hAnsi="Times New Roman" w:eastAsia="方正仿宋简体" w:cs="Times New Roman"/>
          <w:b w:val="0"/>
          <w:i w:val="0"/>
          <w:caps w:val="0"/>
          <w:spacing w:val="0"/>
          <w:w w:val="100"/>
          <w:kern w:val="0"/>
          <w:sz w:val="32"/>
          <w:szCs w:val="32"/>
          <w:lang w:val="en-US" w:eastAsia="zh-CN" w:bidi="ar-SA"/>
        </w:rPr>
        <w:t>《关于下达</w:t>
      </w:r>
      <w:r>
        <w:rPr>
          <w:rFonts w:hint="eastAsia" w:ascii="Times New Roman" w:hAnsi="Times New Roman" w:eastAsia="方正仿宋简体" w:cs="Times New Roman"/>
          <w:b w:val="0"/>
          <w:i w:val="0"/>
          <w:caps w:val="0"/>
          <w:spacing w:val="0"/>
          <w:w w:val="100"/>
          <w:kern w:val="0"/>
          <w:sz w:val="32"/>
          <w:szCs w:val="32"/>
          <w:lang w:val="en-US" w:eastAsia="zh-CN" w:bidi="ar-SA"/>
        </w:rPr>
        <w:t>202</w:t>
      </w:r>
      <w:r>
        <w:rPr>
          <w:rFonts w:hint="eastAsia" w:eastAsia="方正仿宋简体" w:cs="Times New Roman"/>
          <w:b w:val="0"/>
          <w:i w:val="0"/>
          <w:caps w:val="0"/>
          <w:spacing w:val="0"/>
          <w:w w:val="100"/>
          <w:kern w:val="0"/>
          <w:sz w:val="32"/>
          <w:szCs w:val="32"/>
          <w:lang w:val="en-US" w:eastAsia="zh-CN" w:bidi="ar-SA"/>
        </w:rPr>
        <w:t>6</w:t>
      </w:r>
      <w:r>
        <w:rPr>
          <w:rFonts w:hint="eastAsia" w:ascii="Times New Roman" w:hAnsi="Times New Roman" w:eastAsia="方正仿宋简体" w:cs="Times New Roman"/>
          <w:b w:val="0"/>
          <w:i w:val="0"/>
          <w:caps w:val="0"/>
          <w:spacing w:val="0"/>
          <w:w w:val="100"/>
          <w:kern w:val="0"/>
          <w:sz w:val="32"/>
          <w:szCs w:val="32"/>
          <w:lang w:val="en-US" w:eastAsia="zh-CN" w:bidi="ar-SA"/>
        </w:rPr>
        <w:t>年第</w:t>
      </w:r>
      <w:r>
        <w:rPr>
          <w:rFonts w:hint="eastAsia" w:eastAsia="方正仿宋简体" w:cs="Times New Roman"/>
          <w:b w:val="0"/>
          <w:i w:val="0"/>
          <w:caps w:val="0"/>
          <w:spacing w:val="0"/>
          <w:w w:val="100"/>
          <w:kern w:val="0"/>
          <w:sz w:val="32"/>
          <w:szCs w:val="32"/>
          <w:lang w:val="en-US" w:eastAsia="zh-CN" w:bidi="ar-SA"/>
        </w:rPr>
        <w:t>一</w:t>
      </w:r>
      <w:r>
        <w:rPr>
          <w:rFonts w:hint="eastAsia" w:ascii="Times New Roman" w:hAnsi="Times New Roman" w:eastAsia="方正仿宋简体" w:cs="Times New Roman"/>
          <w:b w:val="0"/>
          <w:i w:val="0"/>
          <w:caps w:val="0"/>
          <w:spacing w:val="0"/>
          <w:w w:val="100"/>
          <w:kern w:val="0"/>
          <w:sz w:val="32"/>
          <w:szCs w:val="32"/>
          <w:lang w:val="en-US" w:eastAsia="zh-CN" w:bidi="ar-SA"/>
        </w:rPr>
        <w:t>批省级</w:t>
      </w:r>
      <w:r>
        <w:rPr>
          <w:rFonts w:hint="eastAsia" w:eastAsia="方正仿宋简体" w:cs="Times New Roman"/>
          <w:b w:val="0"/>
          <w:i w:val="0"/>
          <w:caps w:val="0"/>
          <w:spacing w:val="0"/>
          <w:w w:val="100"/>
          <w:kern w:val="0"/>
          <w:sz w:val="32"/>
          <w:szCs w:val="32"/>
          <w:lang w:val="en-US" w:eastAsia="zh-CN" w:bidi="ar-SA"/>
        </w:rPr>
        <w:t>现代农业发展补助专项资金和省级新型农村集体经济发展资金的通知</w:t>
      </w:r>
      <w:r>
        <w:rPr>
          <w:rFonts w:hint="default" w:ascii="Times New Roman" w:hAnsi="Times New Roman" w:eastAsia="方正仿宋简体" w:cs="Times New Roman"/>
          <w:b w:val="0"/>
          <w:i w:val="0"/>
          <w:caps w:val="0"/>
          <w:spacing w:val="0"/>
          <w:w w:val="100"/>
          <w:kern w:val="0"/>
          <w:sz w:val="32"/>
          <w:szCs w:val="32"/>
          <w:lang w:val="en-US" w:eastAsia="zh-CN" w:bidi="ar-SA"/>
        </w:rPr>
        <w:t>》（宁农计〔202</w:t>
      </w:r>
      <w:r>
        <w:rPr>
          <w:rFonts w:hint="eastAsia" w:eastAsia="方正仿宋简体" w:cs="Times New Roman"/>
          <w:b w:val="0"/>
          <w:i w:val="0"/>
          <w:caps w:val="0"/>
          <w:spacing w:val="0"/>
          <w:w w:val="100"/>
          <w:kern w:val="0"/>
          <w:sz w:val="32"/>
          <w:szCs w:val="32"/>
          <w:lang w:val="en-US" w:eastAsia="zh-CN" w:bidi="ar-SA"/>
        </w:rPr>
        <w:t>6</w:t>
      </w:r>
      <w:r>
        <w:rPr>
          <w:rFonts w:hint="default" w:ascii="Times New Roman" w:hAnsi="Times New Roman" w:eastAsia="方正仿宋简体" w:cs="Times New Roman"/>
          <w:b w:val="0"/>
          <w:i w:val="0"/>
          <w:caps w:val="0"/>
          <w:spacing w:val="0"/>
          <w:w w:val="100"/>
          <w:kern w:val="0"/>
          <w:sz w:val="32"/>
          <w:szCs w:val="32"/>
          <w:lang w:val="en-US" w:eastAsia="zh-CN" w:bidi="ar-SA"/>
        </w:rPr>
        <w:t>〕</w:t>
      </w:r>
      <w:r>
        <w:rPr>
          <w:rFonts w:hint="eastAsia" w:eastAsia="方正仿宋简体" w:cs="Times New Roman"/>
          <w:b w:val="0"/>
          <w:i w:val="0"/>
          <w:caps w:val="0"/>
          <w:spacing w:val="0"/>
          <w:w w:val="100"/>
          <w:kern w:val="0"/>
          <w:sz w:val="32"/>
          <w:szCs w:val="32"/>
          <w:lang w:val="en-US" w:eastAsia="zh-CN" w:bidi="ar-SA"/>
        </w:rPr>
        <w:t>15</w:t>
      </w:r>
      <w:r>
        <w:rPr>
          <w:rFonts w:hint="default" w:ascii="Times New Roman" w:hAnsi="Times New Roman" w:eastAsia="方正仿宋简体" w:cs="Times New Roman"/>
          <w:b w:val="0"/>
          <w:i w:val="0"/>
          <w:caps w:val="0"/>
          <w:spacing w:val="0"/>
          <w:w w:val="100"/>
          <w:kern w:val="0"/>
          <w:sz w:val="32"/>
          <w:szCs w:val="32"/>
          <w:lang w:val="en-US" w:eastAsia="zh-CN" w:bidi="ar-SA"/>
        </w:rPr>
        <w:t>号）</w:t>
      </w:r>
      <w:r>
        <w:rPr>
          <w:rFonts w:hint="eastAsia" w:eastAsia="方正仿宋简体" w:cs="Times New Roman"/>
          <w:b w:val="0"/>
          <w:i w:val="0"/>
          <w:caps w:val="0"/>
          <w:spacing w:val="0"/>
          <w:w w:val="100"/>
          <w:kern w:val="0"/>
          <w:sz w:val="32"/>
          <w:szCs w:val="32"/>
          <w:lang w:val="en-US" w:eastAsia="zh-CN" w:bidi="ar-SA"/>
        </w:rPr>
        <w:t>、</w:t>
      </w:r>
      <w:r>
        <w:rPr>
          <w:rFonts w:hint="default" w:ascii="Times New Roman" w:hAnsi="Times New Roman" w:eastAsia="方正仿宋简体" w:cs="Times New Roman"/>
          <w:b w:val="0"/>
          <w:i w:val="0"/>
          <w:caps w:val="0"/>
          <w:spacing w:val="0"/>
          <w:w w:val="100"/>
          <w:kern w:val="0"/>
          <w:sz w:val="32"/>
          <w:szCs w:val="32"/>
          <w:lang w:val="en-US" w:eastAsia="zh-CN" w:bidi="ar-SA"/>
        </w:rPr>
        <w:t>《关于下达2026年第一批市级农业专项资金计划的通知》（宁农计〔2026〕8号）、《关于南京市2026年耕地质量建设与保护项目实施的指导意见》（宁农建〔2026〕3号）</w:t>
      </w:r>
      <w:r>
        <w:rPr>
          <w:rFonts w:hint="eastAsia" w:eastAsia="方正仿宋简体" w:cs="Times New Roman"/>
          <w:color w:val="auto"/>
          <w:lang w:val="en-US" w:eastAsia="zh-CN"/>
        </w:rPr>
        <w:t>等</w:t>
      </w:r>
      <w:r>
        <w:rPr>
          <w:rFonts w:hint="default" w:ascii="Times New Roman" w:hAnsi="Times New Roman" w:eastAsia="方正仿宋简体" w:cs="Times New Roman"/>
          <w:color w:val="auto"/>
          <w:highlight w:val="none"/>
          <w:lang w:eastAsia="zh-CN"/>
        </w:rPr>
        <w:t>文件精神</w:t>
      </w:r>
      <w:r>
        <w:rPr>
          <w:rFonts w:hint="default" w:ascii="Times New Roman" w:hAnsi="Times New Roman" w:eastAsia="方正仿宋简体" w:cs="Times New Roman"/>
          <w:color w:val="auto"/>
        </w:rPr>
        <w:t>，</w:t>
      </w:r>
      <w:r>
        <w:rPr>
          <w:rFonts w:hint="eastAsia" w:eastAsia="方正仿宋简体" w:cs="Times New Roman"/>
          <w:color w:val="auto"/>
          <w:lang w:val="en-US" w:eastAsia="zh-CN"/>
        </w:rPr>
        <w:t>为持续推进</w:t>
      </w:r>
      <w:r>
        <w:rPr>
          <w:rFonts w:hint="eastAsia" w:eastAsia="方正公文仿宋"/>
          <w:snapToGrid w:val="0"/>
          <w:kern w:val="0"/>
          <w:lang w:val="en-US" w:eastAsia="zh-CN"/>
        </w:rPr>
        <w:t>我区化肥减量增效和</w:t>
      </w:r>
      <w:r>
        <w:rPr>
          <w:rFonts w:hint="default" w:ascii="Times New Roman" w:hAnsi="Times New Roman" w:eastAsia="方正仿宋简体" w:cs="Times New Roman"/>
          <w:color w:val="auto"/>
          <w:lang w:eastAsia="zh-CN"/>
        </w:rPr>
        <w:t>耕地质量监测</w:t>
      </w:r>
      <w:r>
        <w:rPr>
          <w:rFonts w:hint="eastAsia" w:eastAsia="方正仿宋简体" w:cs="Times New Roman"/>
          <w:color w:val="auto"/>
          <w:lang w:val="en-US" w:eastAsia="zh-CN"/>
        </w:rPr>
        <w:t>评价</w:t>
      </w:r>
      <w:r>
        <w:rPr>
          <w:rFonts w:hint="eastAsia" w:ascii="Times New Roman" w:hAnsi="Times New Roman" w:eastAsia="方正仿宋简体" w:cs="Times New Roman"/>
          <w:color w:val="auto"/>
          <w:lang w:val="en-US" w:eastAsia="zh-CN"/>
        </w:rPr>
        <w:t>等</w:t>
      </w:r>
      <w:r>
        <w:rPr>
          <w:rFonts w:hint="eastAsia" w:eastAsia="方正仿宋简体" w:cs="Times New Roman"/>
          <w:color w:val="auto"/>
          <w:lang w:val="en-US" w:eastAsia="zh-CN"/>
        </w:rPr>
        <w:t>相关工作</w:t>
      </w:r>
      <w:r>
        <w:rPr>
          <w:rFonts w:hint="default" w:ascii="Times New Roman" w:hAnsi="Times New Roman" w:eastAsia="方正仿宋简体" w:cs="Times New Roman"/>
          <w:color w:val="auto"/>
          <w:lang w:eastAsia="zh-CN"/>
        </w:rPr>
        <w:t>，结</w:t>
      </w:r>
      <w:r>
        <w:rPr>
          <w:rFonts w:hint="default" w:ascii="Times New Roman" w:hAnsi="Times New Roman" w:eastAsia="方正仿宋简体" w:cs="Times New Roman"/>
          <w:color w:val="auto"/>
        </w:rPr>
        <w:t>合实际</w:t>
      </w:r>
      <w:r>
        <w:rPr>
          <w:rFonts w:hint="default" w:ascii="Times New Roman" w:hAnsi="Times New Roman" w:eastAsia="方正仿宋简体" w:cs="Times New Roman"/>
          <w:color w:val="auto"/>
          <w:lang w:eastAsia="zh-CN"/>
        </w:rPr>
        <w:t>情况</w:t>
      </w:r>
      <w:r>
        <w:rPr>
          <w:rFonts w:hint="default" w:ascii="Times New Roman" w:hAnsi="Times New Roman" w:eastAsia="方正仿宋简体" w:cs="Times New Roman"/>
          <w:color w:val="auto"/>
        </w:rPr>
        <w:t>，现制定2026年六合区化肥减量增效与耕地质量监测评价项目</w:t>
      </w:r>
      <w:r>
        <w:rPr>
          <w:rFonts w:hint="eastAsia" w:eastAsia="方正仿宋简体" w:cs="Times New Roman"/>
          <w:color w:val="auto"/>
          <w:lang w:val="en-US" w:eastAsia="zh-CN"/>
        </w:rPr>
        <w:t>实</w:t>
      </w:r>
      <w:r>
        <w:rPr>
          <w:rFonts w:hint="default" w:ascii="Times New Roman" w:hAnsi="Times New Roman" w:eastAsia="方正仿宋简体" w:cs="Times New Roman"/>
          <w:color w:val="auto"/>
        </w:rPr>
        <w:t>施方案如下：</w:t>
      </w:r>
    </w:p>
    <w:p w14:paraId="7C5F327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color w:val="auto"/>
          <w:lang w:val="en-US" w:eastAsia="zh-CN"/>
        </w:rPr>
      </w:pPr>
      <w:r>
        <w:rPr>
          <w:rFonts w:hint="eastAsia" w:eastAsia="方正黑体简体" w:cs="Times New Roman"/>
          <w:color w:val="auto"/>
          <w:lang w:val="en-US" w:eastAsia="zh-CN"/>
        </w:rPr>
        <w:t>一、目标任务</w:t>
      </w:r>
    </w:p>
    <w:p w14:paraId="2F5C2BC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eastAsia" w:ascii="Times New Roman" w:hAnsi="Times New Roman" w:eastAsia="方正仿宋简体" w:cs="Times New Roman"/>
          <w:color w:val="auto"/>
          <w:lang w:val="en-US" w:eastAsia="zh-CN"/>
        </w:rPr>
        <w:t>1.运行</w:t>
      </w:r>
      <w:r>
        <w:rPr>
          <w:rFonts w:hint="eastAsia" w:eastAsia="方正仿宋简体" w:cs="Times New Roman"/>
          <w:color w:val="auto"/>
          <w:lang w:val="en-US" w:eastAsia="zh-CN"/>
        </w:rPr>
        <w:t>9个</w:t>
      </w:r>
      <w:r>
        <w:rPr>
          <w:rFonts w:hint="eastAsia" w:ascii="Times New Roman" w:hAnsi="Times New Roman" w:eastAsia="方正仿宋简体" w:cs="Times New Roman"/>
          <w:color w:val="auto"/>
          <w:lang w:val="en-US" w:eastAsia="zh-CN"/>
        </w:rPr>
        <w:t>省级耕地质量监测点</w:t>
      </w:r>
      <w:r>
        <w:rPr>
          <w:rFonts w:hint="eastAsia" w:eastAsia="方正仿宋简体" w:cs="Times New Roman"/>
          <w:color w:val="auto"/>
          <w:lang w:val="en-US" w:eastAsia="zh-CN"/>
        </w:rPr>
        <w:t>，确保运行正常；开展耕地质量等级调查评价。</w:t>
      </w:r>
    </w:p>
    <w:p w14:paraId="729B4101">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eastAsia="方正仿宋简体" w:cs="Times New Roman"/>
          <w:color w:val="auto"/>
          <w:lang w:val="en-US" w:eastAsia="zh-CN"/>
        </w:rPr>
      </w:pPr>
      <w:r>
        <w:rPr>
          <w:rFonts w:hint="eastAsia" w:ascii="Times New Roman" w:hAnsi="Times New Roman" w:eastAsia="方正仿宋简体" w:cs="Times New Roman"/>
          <w:color w:val="auto"/>
          <w:lang w:val="en-US" w:eastAsia="zh-CN"/>
        </w:rPr>
        <w:t>2.受污染耕地安全利用率</w:t>
      </w:r>
      <w:r>
        <w:rPr>
          <w:rFonts w:hint="eastAsia" w:eastAsia="方正仿宋简体" w:cs="Times New Roman"/>
          <w:color w:val="auto"/>
          <w:lang w:val="en-US" w:eastAsia="zh-CN"/>
        </w:rPr>
        <w:t>达95%以上。</w:t>
      </w:r>
    </w:p>
    <w:p w14:paraId="601C1ECD">
      <w:pPr>
        <w:pStyle w:val="5"/>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b w:val="0"/>
          <w:color w:val="auto"/>
          <w:kern w:val="2"/>
          <w:sz w:val="32"/>
          <w:szCs w:val="32"/>
          <w:lang w:val="en-US" w:eastAsia="zh-CN" w:bidi="ar-SA"/>
        </w:rPr>
      </w:pPr>
      <w:r>
        <w:rPr>
          <w:rFonts w:hint="eastAsia" w:ascii="Times New Roman" w:hAnsi="Times New Roman" w:eastAsia="方正仿宋简体" w:cs="Times New Roman"/>
          <w:b w:val="0"/>
          <w:color w:val="auto"/>
          <w:kern w:val="2"/>
          <w:sz w:val="32"/>
          <w:szCs w:val="32"/>
          <w:lang w:val="en-US" w:eastAsia="zh-CN" w:bidi="ar-SA"/>
        </w:rPr>
        <w:t>3.建设化肥减量增效展示区</w:t>
      </w:r>
      <w:r>
        <w:rPr>
          <w:rFonts w:hint="default" w:ascii="Times New Roman" w:hAnsi="Times New Roman" w:eastAsia="方正仿宋简体" w:cs="Times New Roman"/>
          <w:b w:val="0"/>
          <w:color w:val="auto"/>
          <w:kern w:val="2"/>
          <w:sz w:val="32"/>
          <w:szCs w:val="32"/>
          <w:lang w:val="en-US" w:eastAsia="zh-CN" w:bidi="ar-SA"/>
        </w:rPr>
        <w:t>2个，化肥减量增效展示区内氮肥施用强度较常规施肥削减1</w:t>
      </w:r>
      <w:r>
        <w:rPr>
          <w:rFonts w:hint="eastAsia" w:ascii="Times New Roman" w:hAnsi="Times New Roman" w:eastAsia="方正仿宋简体" w:cs="Times New Roman"/>
          <w:b w:val="0"/>
          <w:color w:val="auto"/>
          <w:kern w:val="2"/>
          <w:sz w:val="32"/>
          <w:szCs w:val="32"/>
          <w:lang w:val="en-US" w:eastAsia="zh-CN" w:bidi="ar-SA"/>
        </w:rPr>
        <w:t>%</w:t>
      </w:r>
      <w:r>
        <w:rPr>
          <w:rFonts w:hint="default" w:ascii="Times New Roman" w:hAnsi="Times New Roman" w:eastAsia="方正仿宋简体" w:cs="Times New Roman"/>
          <w:b w:val="0"/>
          <w:color w:val="auto"/>
          <w:kern w:val="2"/>
          <w:sz w:val="32"/>
          <w:szCs w:val="32"/>
          <w:lang w:val="en-US" w:eastAsia="zh-CN" w:bidi="ar-SA"/>
        </w:rPr>
        <w:t>以上</w:t>
      </w:r>
      <w:r>
        <w:rPr>
          <w:rFonts w:hint="eastAsia" w:ascii="Times New Roman" w:hAnsi="Times New Roman" w:eastAsia="方正仿宋简体" w:cs="Times New Roman"/>
          <w:b w:val="0"/>
          <w:color w:val="auto"/>
          <w:kern w:val="2"/>
          <w:sz w:val="32"/>
          <w:szCs w:val="32"/>
          <w:lang w:val="en-US" w:eastAsia="zh-CN" w:bidi="ar-SA"/>
        </w:rPr>
        <w:t>；开展田间试验4个；开展农户施肥情况调查160户。</w:t>
      </w:r>
    </w:p>
    <w:p w14:paraId="07081EE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黑体简体" w:cs="Times New Roman"/>
          <w:color w:val="auto"/>
          <w:lang w:eastAsia="zh-CN"/>
        </w:rPr>
      </w:pPr>
      <w:r>
        <w:rPr>
          <w:rFonts w:hint="eastAsia" w:eastAsia="方正黑体简体" w:cs="Times New Roman"/>
          <w:color w:val="auto"/>
          <w:lang w:val="en-US" w:eastAsia="zh-CN"/>
        </w:rPr>
        <w:t>二</w:t>
      </w:r>
      <w:r>
        <w:rPr>
          <w:rFonts w:hint="eastAsia" w:ascii="Times New Roman" w:hAnsi="Times New Roman" w:eastAsia="方正黑体简体" w:cs="Times New Roman"/>
          <w:color w:val="auto"/>
          <w:lang w:eastAsia="zh-CN"/>
        </w:rPr>
        <w:t>、实施内容</w:t>
      </w:r>
    </w:p>
    <w:p w14:paraId="43DEE31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简体" w:cs="Times New Roman"/>
          <w:b w:val="0"/>
          <w:bCs w:val="0"/>
          <w:color w:val="auto"/>
          <w:lang w:val="en-US" w:eastAsia="zh-CN"/>
        </w:rPr>
      </w:pPr>
      <w:r>
        <w:rPr>
          <w:rFonts w:hint="eastAsia" w:ascii="Times New Roman" w:hAnsi="Times New Roman" w:eastAsia="方正楷体简体" w:cs="Times New Roman"/>
          <w:b w:val="0"/>
          <w:bCs w:val="0"/>
          <w:color w:val="auto"/>
          <w:lang w:eastAsia="zh-CN"/>
        </w:rPr>
        <w:t>（一）耕地质量监测</w:t>
      </w:r>
      <w:r>
        <w:rPr>
          <w:rFonts w:hint="eastAsia" w:eastAsia="方正楷体简体" w:cs="Times New Roman"/>
          <w:b w:val="0"/>
          <w:bCs w:val="0"/>
          <w:color w:val="auto"/>
          <w:lang w:val="en-US" w:eastAsia="zh-CN"/>
        </w:rPr>
        <w:t>与评价</w:t>
      </w:r>
    </w:p>
    <w:p w14:paraId="144C239D">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eastAsia="方正仿宋简体" w:cs="Times New Roman"/>
          <w:b w:val="0"/>
          <w:bCs w:val="0"/>
          <w:color w:val="auto"/>
          <w:lang w:val="en-US" w:eastAsia="zh-CN"/>
        </w:rPr>
      </w:pPr>
      <w:r>
        <w:rPr>
          <w:rFonts w:hint="eastAsia" w:eastAsia="方正仿宋简体" w:cs="Times New Roman"/>
          <w:b w:val="0"/>
          <w:bCs w:val="0"/>
          <w:color w:val="auto"/>
          <w:lang w:val="en-US" w:eastAsia="zh-CN"/>
        </w:rPr>
        <w:t>1.省级耕地质量监测。</w:t>
      </w:r>
      <w:r>
        <w:rPr>
          <w:rFonts w:hint="default" w:ascii="Times New Roman" w:hAnsi="Times New Roman" w:eastAsia="方正仿宋简体" w:cs="Times New Roman"/>
          <w:color w:val="auto"/>
          <w:lang w:val="en-US" w:eastAsia="zh-CN"/>
        </w:rPr>
        <w:t>由9个街</w:t>
      </w:r>
      <w:r>
        <w:rPr>
          <w:rFonts w:hint="eastAsia" w:eastAsia="方正仿宋简体" w:cs="Times New Roman"/>
          <w:color w:val="auto"/>
          <w:lang w:val="en-US" w:eastAsia="zh-CN"/>
        </w:rPr>
        <w:t>镇</w:t>
      </w:r>
      <w:r>
        <w:rPr>
          <w:rFonts w:hint="default" w:ascii="Times New Roman" w:hAnsi="Times New Roman" w:eastAsia="方正仿宋简体" w:cs="Times New Roman"/>
          <w:color w:val="auto"/>
          <w:lang w:val="en-US" w:eastAsia="zh-CN"/>
        </w:rPr>
        <w:t>负责本行政区</w:t>
      </w:r>
      <w:r>
        <w:rPr>
          <w:rFonts w:hint="eastAsia" w:eastAsia="方正仿宋简体" w:cs="Times New Roman"/>
          <w:color w:val="auto"/>
          <w:lang w:val="en-US" w:eastAsia="zh-CN"/>
        </w:rPr>
        <w:t>内</w:t>
      </w:r>
      <w:r>
        <w:rPr>
          <w:rFonts w:hint="default" w:ascii="Times New Roman" w:hAnsi="Times New Roman" w:eastAsia="方正仿宋简体" w:cs="Times New Roman"/>
          <w:color w:val="auto"/>
          <w:lang w:val="en-US" w:eastAsia="zh-CN"/>
        </w:rPr>
        <w:t>省级监测点的基础设施维护</w:t>
      </w:r>
      <w:r>
        <w:rPr>
          <w:rFonts w:hint="eastAsia" w:eastAsia="方正仿宋简体" w:cs="Times New Roman"/>
          <w:color w:val="auto"/>
          <w:lang w:val="en-US" w:eastAsia="zh-CN"/>
        </w:rPr>
        <w:t>（</w:t>
      </w:r>
      <w:r>
        <w:rPr>
          <w:rFonts w:hint="default" w:ascii="Times New Roman" w:hAnsi="Times New Roman" w:eastAsia="方正仿宋简体" w:cs="Times New Roman"/>
          <w:color w:val="auto"/>
          <w:lang w:val="en-US" w:eastAsia="zh-CN"/>
        </w:rPr>
        <w:t>对毁损的监测小区隔离设施进行修复，对老化的监测点标牌进行更新</w:t>
      </w:r>
      <w:r>
        <w:rPr>
          <w:rFonts w:hint="eastAsia" w:eastAsia="方正仿宋简体" w:cs="Times New Roman"/>
          <w:color w:val="auto"/>
          <w:lang w:val="en-US" w:eastAsia="zh-CN"/>
        </w:rPr>
        <w:t>）</w:t>
      </w:r>
      <w:r>
        <w:rPr>
          <w:rFonts w:hint="default" w:ascii="Times New Roman" w:hAnsi="Times New Roman" w:eastAsia="方正仿宋简体" w:cs="Times New Roman"/>
          <w:color w:val="auto"/>
          <w:lang w:val="en-US" w:eastAsia="zh-CN"/>
        </w:rPr>
        <w:t>、田间生产情况记载等工作。各街道明确专人负责监测工作，</w:t>
      </w:r>
      <w:r>
        <w:rPr>
          <w:rFonts w:hint="default" w:ascii="Times New Roman" w:hAnsi="Times New Roman" w:eastAsia="方正仿宋简体" w:cs="Times New Roman"/>
          <w:b w:val="0"/>
          <w:bCs w:val="0"/>
          <w:color w:val="auto"/>
          <w:lang w:val="en-US" w:eastAsia="zh-CN"/>
        </w:rPr>
        <w:t>确保</w:t>
      </w:r>
      <w:r>
        <w:rPr>
          <w:rFonts w:hint="default" w:ascii="Times New Roman" w:hAnsi="Times New Roman" w:eastAsia="方正仿宋简体" w:cs="Times New Roman"/>
          <w:color w:val="auto"/>
          <w:lang w:val="en-US" w:eastAsia="zh-CN"/>
        </w:rPr>
        <w:t>监测点田块长期种植农作物，保障监测点正常运行。</w:t>
      </w:r>
    </w:p>
    <w:p w14:paraId="5D33F9E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eastAsia" w:ascii="Times New Roman" w:hAnsi="Times New Roman" w:eastAsia="方正仿宋简体" w:cs="Times New Roman"/>
          <w:color w:val="auto"/>
          <w:lang w:val="en-US" w:eastAsia="zh-CN"/>
        </w:rPr>
        <w:t>2.</w:t>
      </w:r>
      <w:r>
        <w:rPr>
          <w:rFonts w:hint="default" w:ascii="Times New Roman" w:hAnsi="Times New Roman" w:eastAsia="方正仿宋简体" w:cs="Times New Roman"/>
          <w:color w:val="auto"/>
          <w:lang w:val="en-US" w:eastAsia="zh-CN"/>
        </w:rPr>
        <w:t>土壤墒情自动监测</w:t>
      </w:r>
      <w:r>
        <w:rPr>
          <w:rFonts w:hint="eastAsia" w:eastAsia="方正仿宋简体" w:cs="Times New Roman"/>
          <w:color w:val="auto"/>
          <w:lang w:val="en-US" w:eastAsia="zh-CN"/>
        </w:rPr>
        <w:t>。由监测点所在地块农户</w:t>
      </w:r>
      <w:r>
        <w:rPr>
          <w:rFonts w:hint="default" w:ascii="Times New Roman" w:hAnsi="Times New Roman" w:eastAsia="方正仿宋简体" w:cs="Times New Roman"/>
          <w:color w:val="auto"/>
          <w:lang w:val="en-US" w:eastAsia="zh-CN"/>
        </w:rPr>
        <w:t>对15个土壤墒情自动监测点进行日常维护，设备维修和更新，保障相关监测设备正常运转、数据实时传输。同时依据土壤墒情监测数据结果，及时</w:t>
      </w:r>
      <w:r>
        <w:rPr>
          <w:rFonts w:hint="eastAsia" w:eastAsia="方正仿宋简体" w:cs="Times New Roman"/>
          <w:color w:val="auto"/>
          <w:lang w:val="en-US" w:eastAsia="zh-CN"/>
        </w:rPr>
        <w:t>上报</w:t>
      </w:r>
      <w:r>
        <w:rPr>
          <w:rFonts w:hint="default" w:ascii="Times New Roman" w:hAnsi="Times New Roman" w:eastAsia="方正仿宋简体" w:cs="Times New Roman"/>
          <w:color w:val="auto"/>
          <w:lang w:val="en-US" w:eastAsia="zh-CN"/>
        </w:rPr>
        <w:t>土壤墒情简报，科学指导抗旱排涝，提高墒情预警预报能力。</w:t>
      </w:r>
    </w:p>
    <w:p w14:paraId="32E39EA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highlight w:val="yellow"/>
          <w:lang w:val="en-US" w:eastAsia="zh-CN"/>
        </w:rPr>
      </w:pPr>
      <w:r>
        <w:rPr>
          <w:rFonts w:hint="eastAsia" w:ascii="Times New Roman" w:hAnsi="Times New Roman" w:eastAsia="方正仿宋简体" w:cs="Times New Roman"/>
          <w:b w:val="0"/>
          <w:color w:val="auto"/>
          <w:kern w:val="2"/>
          <w:sz w:val="32"/>
          <w:szCs w:val="32"/>
          <w:lang w:val="en-US" w:eastAsia="zh-CN" w:bidi="ar-SA"/>
        </w:rPr>
        <w:t>3.</w:t>
      </w:r>
      <w:r>
        <w:rPr>
          <w:rFonts w:hint="default" w:ascii="Times New Roman" w:hAnsi="Times New Roman" w:eastAsia="方正仿宋简体" w:cs="Times New Roman"/>
          <w:b w:val="0"/>
          <w:color w:val="auto"/>
          <w:kern w:val="2"/>
          <w:sz w:val="32"/>
          <w:szCs w:val="32"/>
          <w:lang w:val="en-US" w:eastAsia="zh-CN" w:bidi="ar-SA"/>
        </w:rPr>
        <w:t>耕地质量等级调查评价</w:t>
      </w:r>
      <w:r>
        <w:rPr>
          <w:rFonts w:hint="eastAsia" w:ascii="Times New Roman" w:hAnsi="Times New Roman" w:eastAsia="方正仿宋简体" w:cs="Times New Roman"/>
          <w:b w:val="0"/>
          <w:color w:val="auto"/>
          <w:kern w:val="2"/>
          <w:sz w:val="32"/>
          <w:szCs w:val="32"/>
          <w:lang w:val="en-US" w:eastAsia="zh-CN" w:bidi="ar-SA"/>
        </w:rPr>
        <w:t>。</w:t>
      </w:r>
      <w:r>
        <w:rPr>
          <w:rFonts w:hint="eastAsia" w:eastAsia="方正仿宋简体" w:cs="Times New Roman"/>
          <w:color w:val="auto"/>
          <w:lang w:val="en-US" w:eastAsia="zh-CN"/>
        </w:rPr>
        <w:t>调查</w:t>
      </w:r>
      <w:r>
        <w:rPr>
          <w:rFonts w:hint="default" w:ascii="Times New Roman" w:hAnsi="Times New Roman" w:eastAsia="方正仿宋简体" w:cs="Times New Roman"/>
          <w:color w:val="auto"/>
          <w:lang w:val="en-US" w:eastAsia="zh-CN"/>
        </w:rPr>
        <w:t>采集检测90个耕地质量等级调查点土壤样品。</w:t>
      </w:r>
      <w:r>
        <w:rPr>
          <w:rFonts w:hint="default" w:ascii="Times New Roman" w:hAnsi="Times New Roman" w:eastAsia="方正仿宋简体" w:cs="Times New Roman"/>
          <w:color w:val="auto"/>
          <w:highlight w:val="none"/>
          <w:lang w:val="en-US" w:eastAsia="zh-CN"/>
        </w:rPr>
        <w:t>检测项：pH、有机质、全氮、有效磷、速效钾、缓效钾、容重、机械组成（耕层质地）</w:t>
      </w:r>
      <w:r>
        <w:rPr>
          <w:rFonts w:hint="eastAsia" w:eastAsia="方正仿宋简体" w:cs="Times New Roman"/>
          <w:color w:val="auto"/>
          <w:highlight w:val="none"/>
          <w:lang w:val="en-US" w:eastAsia="zh-CN"/>
        </w:rPr>
        <w:t>等</w:t>
      </w:r>
      <w:r>
        <w:rPr>
          <w:rFonts w:hint="default" w:ascii="Times New Roman" w:hAnsi="Times New Roman" w:eastAsia="方正仿宋简体" w:cs="Times New Roman"/>
          <w:color w:val="auto"/>
          <w:highlight w:val="none"/>
          <w:lang w:val="en-US" w:eastAsia="zh-CN"/>
        </w:rPr>
        <w:t>；踏勘项：地貌类型、地形部位、海拔、田面坡度、有效土层、耕层厚度、质地构型、耕作制度、障碍因素、水资源条件、排水能力</w:t>
      </w:r>
      <w:r>
        <w:rPr>
          <w:rFonts w:hint="eastAsia" w:eastAsia="方正仿宋简体" w:cs="Times New Roman"/>
          <w:color w:val="auto"/>
          <w:highlight w:val="none"/>
          <w:lang w:val="en-US" w:eastAsia="zh-CN"/>
        </w:rPr>
        <w:t>等。</w:t>
      </w:r>
      <w:r>
        <w:rPr>
          <w:rFonts w:hint="default" w:ascii="Times New Roman" w:hAnsi="Times New Roman" w:eastAsia="方正仿宋简体" w:cs="Times New Roman"/>
          <w:color w:val="auto"/>
          <w:highlight w:val="none"/>
          <w:lang w:val="en-US" w:eastAsia="zh-CN"/>
        </w:rPr>
        <w:t>以</w:t>
      </w:r>
      <w:r>
        <w:rPr>
          <w:rFonts w:hint="default" w:ascii="Times New Roman" w:hAnsi="Times New Roman" w:eastAsia="方正仿宋简体" w:cs="Times New Roman"/>
          <w:color w:val="auto"/>
          <w:lang w:val="en-US" w:eastAsia="zh-CN"/>
        </w:rPr>
        <w:t>国土“三调”最新年度变更图件和调查</w:t>
      </w:r>
      <w:r>
        <w:rPr>
          <w:rFonts w:hint="eastAsia" w:eastAsia="方正仿宋简体" w:cs="Times New Roman"/>
          <w:color w:val="auto"/>
          <w:lang w:val="en-US" w:eastAsia="zh-CN"/>
        </w:rPr>
        <w:t>监测数据</w:t>
      </w:r>
      <w:r>
        <w:rPr>
          <w:rFonts w:hint="default" w:ascii="Times New Roman" w:hAnsi="Times New Roman" w:eastAsia="方正仿宋简体" w:cs="Times New Roman"/>
          <w:color w:val="auto"/>
          <w:lang w:val="en-US" w:eastAsia="zh-CN"/>
        </w:rPr>
        <w:t>为基础，依据《耕地质量等级》标准，规范开展耕地质量等级评价。</w:t>
      </w:r>
    </w:p>
    <w:p w14:paraId="6A06BC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eastAsia" w:eastAsia="方正仿宋简体" w:cs="Times New Roman"/>
          <w:color w:val="auto"/>
          <w:lang w:val="en-US" w:eastAsia="zh-CN"/>
        </w:rPr>
        <w:t>4</w:t>
      </w:r>
      <w:r>
        <w:rPr>
          <w:rFonts w:hint="eastAsia" w:ascii="Times New Roman" w:hAnsi="Times New Roman" w:eastAsia="方正仿宋简体" w:cs="Times New Roman"/>
          <w:color w:val="auto"/>
          <w:lang w:val="en-US" w:eastAsia="zh-CN"/>
        </w:rPr>
        <w:t>.农产品产地环境监测。</w:t>
      </w:r>
      <w:r>
        <w:rPr>
          <w:rFonts w:hint="default" w:ascii="Times New Roman" w:hAnsi="Times New Roman" w:eastAsia="方正仿宋简体" w:cs="Times New Roman"/>
          <w:color w:val="auto"/>
          <w:lang w:val="en-US" w:eastAsia="zh-CN"/>
        </w:rPr>
        <w:t>采集、检测33个农产品产地环境监测点两季农产品样品，检测指标为砷（无机砷）、镉、铬、汞、铅。依据检测结果，对数据进行分析与评价，编制《六合区农产品产地环境监测点监测分析评价报告》</w:t>
      </w:r>
      <w:r>
        <w:rPr>
          <w:rFonts w:hint="eastAsia" w:ascii="Times New Roman" w:hAnsi="Times New Roman" w:eastAsia="方正仿宋简体" w:cs="Times New Roman"/>
          <w:color w:val="auto"/>
          <w:lang w:val="en-US" w:eastAsia="zh-CN"/>
        </w:rPr>
        <w:t>。</w:t>
      </w:r>
    </w:p>
    <w:p w14:paraId="2BD54B7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方正楷体简体" w:cs="Times New Roman"/>
          <w:b w:val="0"/>
          <w:bCs w:val="0"/>
          <w:color w:val="auto"/>
          <w:lang w:val="en-US" w:eastAsia="zh-CN"/>
        </w:rPr>
      </w:pPr>
      <w:r>
        <w:rPr>
          <w:rFonts w:hint="eastAsia" w:eastAsia="方正楷体简体" w:cs="Times New Roman"/>
          <w:b w:val="0"/>
          <w:bCs w:val="0"/>
          <w:color w:val="auto"/>
          <w:lang w:eastAsia="zh-CN"/>
        </w:rPr>
        <w:t>（</w:t>
      </w:r>
      <w:r>
        <w:rPr>
          <w:rFonts w:hint="eastAsia" w:eastAsia="方正楷体简体" w:cs="Times New Roman"/>
          <w:b w:val="0"/>
          <w:bCs w:val="0"/>
          <w:color w:val="auto"/>
          <w:lang w:val="en-US" w:eastAsia="zh-CN"/>
        </w:rPr>
        <w:t>二</w:t>
      </w:r>
      <w:r>
        <w:rPr>
          <w:rFonts w:hint="eastAsia" w:eastAsia="方正楷体简体" w:cs="Times New Roman"/>
          <w:b w:val="0"/>
          <w:bCs w:val="0"/>
          <w:color w:val="auto"/>
          <w:lang w:eastAsia="zh-CN"/>
        </w:rPr>
        <w:t>）</w:t>
      </w:r>
      <w:r>
        <w:rPr>
          <w:rFonts w:hint="eastAsia" w:eastAsia="方正楷体简体" w:cs="Times New Roman"/>
          <w:b w:val="0"/>
          <w:bCs w:val="0"/>
          <w:color w:val="auto"/>
          <w:lang w:val="en-US" w:eastAsia="zh-CN"/>
        </w:rPr>
        <w:t>受污染耕地安全利用与补充耕地质量验收</w:t>
      </w:r>
    </w:p>
    <w:p w14:paraId="7B0A24A3">
      <w:pPr>
        <w:ind w:firstLine="640" w:firstLineChars="200"/>
        <w:rPr>
          <w:rFonts w:hint="default" w:ascii="Times New Roman" w:hAnsi="Times New Roman" w:eastAsia="方正仿宋简体" w:cs="Times New Roman"/>
          <w:b w:val="0"/>
          <w:color w:val="auto"/>
          <w:kern w:val="2"/>
          <w:sz w:val="32"/>
          <w:szCs w:val="32"/>
          <w:lang w:val="en-US" w:eastAsia="zh-CN" w:bidi="ar-SA"/>
        </w:rPr>
      </w:pPr>
      <w:r>
        <w:rPr>
          <w:rFonts w:hint="eastAsia" w:ascii="Times New Roman" w:hAnsi="Times New Roman" w:eastAsia="方正仿宋简体" w:cs="Times New Roman"/>
          <w:b w:val="0"/>
          <w:color w:val="auto"/>
          <w:kern w:val="2"/>
          <w:sz w:val="32"/>
          <w:szCs w:val="32"/>
          <w:lang w:val="en-US" w:eastAsia="zh-CN" w:bidi="ar-SA"/>
        </w:rPr>
        <w:t>1.原安全利用区监测。根据《江苏省受污染耕地安全利用率自评估农产品监测技术方案》《关于开展全省耕地土壤环境质量类别动态调整工作的通知》要求，对动态调整前的安全利用类耕地开展监测，采集检测10个监测点土壤和一季农产品样品。</w:t>
      </w:r>
      <w:r>
        <w:rPr>
          <w:rFonts w:hint="eastAsia" w:eastAsia="方正仿宋简体" w:cs="Times New Roman"/>
          <w:b w:val="0"/>
          <w:color w:val="auto"/>
          <w:kern w:val="2"/>
          <w:sz w:val="32"/>
          <w:szCs w:val="32"/>
          <w:lang w:val="en-US" w:eastAsia="zh-CN" w:bidi="ar-SA"/>
        </w:rPr>
        <w:t>农产品检测指标为砷（无机砷）、镉、铬、汞、铅；土壤检测指标为：pH、镉、汞、砷、铅、铬。</w:t>
      </w:r>
    </w:p>
    <w:p w14:paraId="3C7811B0">
      <w:pPr>
        <w:ind w:firstLine="640" w:firstLineChars="200"/>
        <w:rPr>
          <w:rFonts w:hint="default" w:ascii="Times New Roman" w:hAnsi="Times New Roman" w:eastAsia="方正仿宋简体" w:cs="Times New Roman"/>
          <w:b w:val="0"/>
          <w:color w:val="auto"/>
          <w:kern w:val="2"/>
          <w:sz w:val="32"/>
          <w:szCs w:val="32"/>
          <w:highlight w:val="yellow"/>
          <w:lang w:val="en-US" w:eastAsia="zh-CN" w:bidi="ar-SA"/>
        </w:rPr>
      </w:pPr>
      <w:r>
        <w:rPr>
          <w:rFonts w:hint="eastAsia" w:ascii="Times New Roman" w:hAnsi="Times New Roman" w:eastAsia="方正仿宋简体" w:cs="Times New Roman"/>
          <w:b w:val="0"/>
          <w:color w:val="auto"/>
          <w:kern w:val="2"/>
          <w:sz w:val="32"/>
          <w:szCs w:val="32"/>
          <w:lang w:val="en-US" w:eastAsia="zh-CN" w:bidi="ar-SA"/>
        </w:rPr>
        <w:t>2.优先保护类耕地Ⅰ</w:t>
      </w:r>
      <w:r>
        <w:rPr>
          <w:rFonts w:hint="eastAsia" w:ascii="Times New Roman" w:hAnsi="Times New Roman" w:eastAsia="方正仿宋简体" w:cs="Times New Roman"/>
          <w:b w:val="0"/>
          <w:color w:val="auto"/>
          <w:kern w:val="2"/>
          <w:sz w:val="32"/>
          <w:szCs w:val="32"/>
          <w:vertAlign w:val="subscript"/>
          <w:lang w:val="en-US" w:eastAsia="zh-CN" w:bidi="ar-SA"/>
        </w:rPr>
        <w:t>2</w:t>
      </w:r>
      <w:r>
        <w:rPr>
          <w:rFonts w:hint="eastAsia" w:eastAsia="方正仿宋简体" w:cs="Times New Roman"/>
          <w:b w:val="0"/>
          <w:color w:val="auto"/>
          <w:kern w:val="2"/>
          <w:sz w:val="32"/>
          <w:szCs w:val="32"/>
          <w:vertAlign w:val="baseline"/>
          <w:lang w:val="en-US" w:eastAsia="zh-CN" w:bidi="ar-SA"/>
        </w:rPr>
        <w:t>监测</w:t>
      </w:r>
      <w:r>
        <w:rPr>
          <w:rFonts w:hint="eastAsia" w:eastAsia="方正仿宋简体" w:cs="Times New Roman"/>
          <w:b w:val="0"/>
          <w:color w:val="auto"/>
          <w:kern w:val="2"/>
          <w:sz w:val="32"/>
          <w:szCs w:val="32"/>
          <w:lang w:val="en-US" w:eastAsia="zh-CN" w:bidi="ar-SA"/>
        </w:rPr>
        <w:t>。布设18个监测点，采集、检测18个点位两季农产品样品，农产品检测指标为砷（无机砷）、镉、铬、汞、铅。</w:t>
      </w:r>
    </w:p>
    <w:p w14:paraId="4818E76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eastAsia="方正楷体简体" w:cs="Times New Roman"/>
          <w:b w:val="0"/>
          <w:bCs w:val="0"/>
          <w:color w:val="auto"/>
          <w:lang w:val="en-US" w:eastAsia="zh-CN"/>
        </w:rPr>
      </w:pPr>
      <w:r>
        <w:rPr>
          <w:rFonts w:hint="eastAsia" w:eastAsia="方正楷体简体" w:cs="Times New Roman"/>
          <w:b w:val="0"/>
          <w:bCs w:val="0"/>
          <w:color w:val="auto"/>
          <w:lang w:val="en-US" w:eastAsia="zh-CN"/>
        </w:rPr>
        <w:t>3.</w:t>
      </w:r>
      <w:r>
        <w:rPr>
          <w:rFonts w:hint="eastAsia" w:ascii="Times New Roman" w:hAnsi="Times New Roman" w:eastAsia="方正仿宋简体" w:cs="Times New Roman"/>
          <w:color w:val="auto"/>
          <w:lang w:val="en-US" w:eastAsia="zh-CN"/>
        </w:rPr>
        <w:t>占用耕地质量等级核算。分别核算2025年</w:t>
      </w:r>
      <w:r>
        <w:rPr>
          <w:rFonts w:hint="eastAsia" w:eastAsia="方正仿宋简体" w:cs="Times New Roman"/>
          <w:color w:val="auto"/>
          <w:lang w:val="en-US" w:eastAsia="zh-CN"/>
        </w:rPr>
        <w:t>度</w:t>
      </w:r>
      <w:r>
        <w:rPr>
          <w:rFonts w:hint="eastAsia" w:ascii="Times New Roman" w:hAnsi="Times New Roman" w:eastAsia="方正仿宋简体" w:cs="Times New Roman"/>
          <w:color w:val="auto"/>
          <w:lang w:val="en-US" w:eastAsia="zh-CN"/>
        </w:rPr>
        <w:t>占用耕地质量等级（包括各类占用和非农建设占用）</w:t>
      </w:r>
      <w:r>
        <w:rPr>
          <w:rFonts w:hint="eastAsia" w:eastAsia="方正仿宋简体" w:cs="Times New Roman"/>
          <w:color w:val="auto"/>
          <w:lang w:val="en-US" w:eastAsia="zh-CN"/>
        </w:rPr>
        <w:t>，</w:t>
      </w:r>
      <w:r>
        <w:rPr>
          <w:rFonts w:hint="eastAsia" w:ascii="Times New Roman" w:hAnsi="Times New Roman" w:eastAsia="方正仿宋简体" w:cs="Times New Roman"/>
          <w:color w:val="auto"/>
          <w:lang w:val="en-US" w:eastAsia="zh-CN"/>
        </w:rPr>
        <w:t>2026年度占用耕地质量等级（包括各类占用和非农建设占用）和永农调整区域耕地质量等级</w:t>
      </w:r>
      <w:r>
        <w:rPr>
          <w:rFonts w:hint="eastAsia" w:eastAsia="方正仿宋简体" w:cs="Times New Roman"/>
          <w:color w:val="auto"/>
          <w:lang w:val="en-US" w:eastAsia="zh-CN"/>
        </w:rPr>
        <w:t>（根据上级要求开展）</w:t>
      </w:r>
      <w:r>
        <w:rPr>
          <w:rFonts w:hint="eastAsia" w:ascii="Times New Roman" w:hAnsi="Times New Roman" w:eastAsia="方正仿宋简体" w:cs="Times New Roman"/>
          <w:color w:val="auto"/>
          <w:lang w:val="en-US" w:eastAsia="zh-CN"/>
        </w:rPr>
        <w:t>。</w:t>
      </w:r>
    </w:p>
    <w:p w14:paraId="5861444C">
      <w:pPr>
        <w:pStyle w:val="5"/>
        <w:ind w:firstLine="640" w:firstLineChars="200"/>
        <w:rPr>
          <w:rFonts w:hint="eastAsia" w:eastAsia="方正楷体简体" w:cs="Times New Roman"/>
          <w:b w:val="0"/>
          <w:bCs w:val="0"/>
          <w:color w:val="auto"/>
          <w:lang w:val="en-US" w:eastAsia="zh-CN"/>
        </w:rPr>
      </w:pPr>
      <w:r>
        <w:rPr>
          <w:rFonts w:hint="eastAsia" w:eastAsia="方正楷体简体" w:cs="Times New Roman"/>
          <w:b w:val="0"/>
          <w:bCs w:val="0"/>
          <w:color w:val="auto"/>
          <w:lang w:val="en-US" w:eastAsia="zh-CN"/>
        </w:rPr>
        <w:t>（三）化肥减量增效</w:t>
      </w:r>
    </w:p>
    <w:p w14:paraId="65435F5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方正仿宋简体" w:cs="Times New Roman"/>
          <w:b w:val="0"/>
          <w:color w:val="auto"/>
          <w:kern w:val="2"/>
          <w:sz w:val="32"/>
          <w:szCs w:val="32"/>
          <w:lang w:val="en-US" w:eastAsia="zh-CN" w:bidi="ar-SA"/>
        </w:rPr>
      </w:pPr>
      <w:r>
        <w:rPr>
          <w:rFonts w:hint="eastAsia" w:eastAsia="方正仿宋简体" w:cs="Times New Roman"/>
          <w:b w:val="0"/>
          <w:color w:val="auto"/>
          <w:kern w:val="2"/>
          <w:sz w:val="32"/>
          <w:szCs w:val="32"/>
          <w:lang w:val="en-US" w:eastAsia="zh-CN" w:bidi="ar-SA"/>
        </w:rPr>
        <w:t>1.化肥减量增效展示区。在全区建立2个化肥减量增效展示区，面积共1160亩，在小麦作物上应用有机肥部分替代化肥、应用缓释掺混肥、配方肥以及小麦种肥同播技术。小麦种植前每亩增施商品有机肥200公斤，应用数量232吨；应用种肥同播机械，在小麦播种作业时同步施入具有缓释性能的配方肥料作为基肥，种肥同播面积1160亩，小麦缓释掺混肥配比（N-P</w:t>
      </w:r>
      <w:r>
        <w:rPr>
          <w:rFonts w:hint="eastAsia" w:eastAsia="方正仿宋简体" w:cs="Times New Roman"/>
          <w:b w:val="0"/>
          <w:color w:val="auto"/>
          <w:kern w:val="2"/>
          <w:sz w:val="32"/>
          <w:szCs w:val="32"/>
          <w:vertAlign w:val="subscript"/>
          <w:lang w:val="en-US" w:eastAsia="zh-CN" w:bidi="ar-SA"/>
        </w:rPr>
        <w:t>2</w:t>
      </w:r>
      <w:r>
        <w:rPr>
          <w:rFonts w:hint="eastAsia" w:eastAsia="方正仿宋简体" w:cs="Times New Roman"/>
          <w:b w:val="0"/>
          <w:color w:val="auto"/>
          <w:kern w:val="2"/>
          <w:sz w:val="32"/>
          <w:szCs w:val="32"/>
          <w:lang w:val="en-US" w:eastAsia="zh-CN" w:bidi="ar-SA"/>
        </w:rPr>
        <w:t>O</w:t>
      </w:r>
      <w:r>
        <w:rPr>
          <w:rFonts w:hint="eastAsia" w:eastAsia="方正仿宋简体" w:cs="Times New Roman"/>
          <w:b w:val="0"/>
          <w:color w:val="auto"/>
          <w:kern w:val="2"/>
          <w:sz w:val="32"/>
          <w:szCs w:val="32"/>
          <w:vertAlign w:val="subscript"/>
          <w:lang w:val="en-US" w:eastAsia="zh-CN" w:bidi="ar-SA"/>
        </w:rPr>
        <w:t>5</w:t>
      </w:r>
      <w:r>
        <w:rPr>
          <w:rFonts w:hint="eastAsia" w:eastAsia="方正仿宋简体" w:cs="Times New Roman"/>
          <w:b w:val="0"/>
          <w:color w:val="auto"/>
          <w:kern w:val="2"/>
          <w:sz w:val="32"/>
          <w:szCs w:val="32"/>
          <w:lang w:val="en-US" w:eastAsia="zh-CN" w:bidi="ar-SA"/>
        </w:rPr>
        <w:t>-K</w:t>
      </w:r>
      <w:r>
        <w:rPr>
          <w:rFonts w:hint="eastAsia" w:eastAsia="方正仿宋简体" w:cs="Times New Roman"/>
          <w:b w:val="0"/>
          <w:color w:val="auto"/>
          <w:kern w:val="2"/>
          <w:sz w:val="32"/>
          <w:szCs w:val="32"/>
          <w:vertAlign w:val="subscript"/>
          <w:lang w:val="en-US" w:eastAsia="zh-CN" w:bidi="ar-SA"/>
        </w:rPr>
        <w:t>2</w:t>
      </w:r>
      <w:r>
        <w:rPr>
          <w:rFonts w:hint="eastAsia" w:eastAsia="方正仿宋简体" w:cs="Times New Roman"/>
          <w:b w:val="0"/>
          <w:color w:val="auto"/>
          <w:kern w:val="2"/>
          <w:sz w:val="32"/>
          <w:szCs w:val="32"/>
          <w:lang w:val="en-US" w:eastAsia="zh-CN" w:bidi="ar-SA"/>
        </w:rPr>
        <w:t>O）为50%（33-8-9），亩用量40公斤，应用数量46.4吨；穗期每亩应用配方肥（30-0-8）15kg，应用数量17.4吨。</w:t>
      </w:r>
    </w:p>
    <w:p w14:paraId="375136B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eastAsia="方正仿宋简体" w:cs="Times New Roman"/>
          <w:b w:val="0"/>
          <w:color w:val="auto"/>
          <w:kern w:val="2"/>
          <w:sz w:val="32"/>
          <w:szCs w:val="32"/>
          <w:lang w:val="en-US" w:eastAsia="zh-CN" w:bidi="ar-SA"/>
        </w:rPr>
      </w:pPr>
      <w:r>
        <w:rPr>
          <w:rFonts w:hint="eastAsia" w:eastAsia="方正仿宋简体" w:cs="Times New Roman"/>
          <w:b w:val="0"/>
          <w:color w:val="auto"/>
          <w:kern w:val="2"/>
          <w:sz w:val="32"/>
          <w:szCs w:val="32"/>
          <w:lang w:val="en-US" w:eastAsia="zh-CN" w:bidi="ar-SA"/>
        </w:rPr>
        <w:t>2.农户施肥调查。</w:t>
      </w:r>
      <w:r>
        <w:rPr>
          <w:rFonts w:hint="default" w:ascii="Times New Roman" w:hAnsi="Times New Roman" w:eastAsia="方正仿宋简体" w:cs="Times New Roman"/>
          <w:color w:val="auto"/>
          <w:lang w:val="en-US" w:eastAsia="zh-CN"/>
        </w:rPr>
        <w:t>在全区9个街</w:t>
      </w:r>
      <w:r>
        <w:rPr>
          <w:rFonts w:hint="eastAsia" w:eastAsia="方正仿宋简体" w:cs="Times New Roman"/>
          <w:color w:val="auto"/>
          <w:lang w:val="en-US" w:eastAsia="zh-CN"/>
        </w:rPr>
        <w:t>镇调查</w:t>
      </w:r>
      <w:r>
        <w:rPr>
          <w:rFonts w:hint="default" w:ascii="Times New Roman" w:hAnsi="Times New Roman" w:eastAsia="方正仿宋简体" w:cs="Times New Roman"/>
          <w:color w:val="auto"/>
          <w:highlight w:val="none"/>
          <w:lang w:val="en-US" w:eastAsia="zh-CN"/>
        </w:rPr>
        <w:t>160</w:t>
      </w:r>
      <w:r>
        <w:rPr>
          <w:rFonts w:hint="default" w:ascii="Times New Roman" w:hAnsi="Times New Roman" w:eastAsia="方正仿宋简体" w:cs="Times New Roman"/>
          <w:color w:val="auto"/>
          <w:lang w:val="en-US" w:eastAsia="zh-CN"/>
        </w:rPr>
        <w:t>个</w:t>
      </w:r>
      <w:r>
        <w:rPr>
          <w:rFonts w:hint="eastAsia" w:eastAsia="方正仿宋简体" w:cs="Times New Roman"/>
          <w:color w:val="auto"/>
          <w:lang w:val="en-US" w:eastAsia="zh-CN"/>
        </w:rPr>
        <w:t>农户</w:t>
      </w:r>
      <w:r>
        <w:rPr>
          <w:rFonts w:hint="default" w:ascii="Times New Roman" w:hAnsi="Times New Roman" w:eastAsia="方正仿宋简体" w:cs="Times New Roman"/>
          <w:color w:val="auto"/>
          <w:lang w:val="en-US" w:eastAsia="zh-CN"/>
        </w:rPr>
        <w:t>农作物肥料使用强度，调查结果每半年报送一次。</w:t>
      </w:r>
    </w:p>
    <w:p w14:paraId="1D185C8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简体" w:cs="Times New Roman"/>
          <w:b w:val="0"/>
          <w:bCs w:val="0"/>
          <w:color w:val="auto"/>
          <w:lang w:val="en-US" w:eastAsia="zh-CN"/>
        </w:rPr>
      </w:pPr>
      <w:r>
        <w:rPr>
          <w:rFonts w:hint="eastAsia" w:eastAsia="方正仿宋简体" w:cs="Times New Roman"/>
          <w:b w:val="0"/>
          <w:color w:val="auto"/>
          <w:kern w:val="2"/>
          <w:sz w:val="32"/>
          <w:szCs w:val="32"/>
          <w:lang w:val="en-US" w:eastAsia="zh-CN" w:bidi="ar-SA"/>
        </w:rPr>
        <w:t>3.田间试验。在水稻、小麦等作物上开展田间试验4个，合理布设试验处理区，根据制定的试验方案，规范开展取样、施肥、记录、化验、测产、分析等工作，田间试验结束后编制试验报告。</w:t>
      </w:r>
    </w:p>
    <w:p w14:paraId="7A82D5A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Arial" w:hAnsi="Arial" w:eastAsia="方正楷体简体" w:cs="Times New Roman"/>
          <w:b w:val="0"/>
          <w:bCs w:val="0"/>
          <w:color w:val="auto"/>
          <w:kern w:val="2"/>
          <w:sz w:val="32"/>
          <w:szCs w:val="32"/>
          <w:lang w:val="en-US" w:eastAsia="zh-CN" w:bidi="ar-SA"/>
        </w:rPr>
      </w:pPr>
      <w:r>
        <w:rPr>
          <w:rFonts w:hint="eastAsia" w:ascii="Arial" w:hAnsi="Arial" w:eastAsia="方正楷体简体" w:cs="Times New Roman"/>
          <w:b w:val="0"/>
          <w:bCs w:val="0"/>
          <w:color w:val="auto"/>
          <w:kern w:val="2"/>
          <w:sz w:val="32"/>
          <w:szCs w:val="32"/>
          <w:lang w:val="en-US" w:eastAsia="zh-CN" w:bidi="ar-SA"/>
        </w:rPr>
        <w:t>（四）项目管理</w:t>
      </w:r>
    </w:p>
    <w:p w14:paraId="3774B75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方正仿宋简体" w:cs="Times New Roman"/>
          <w:b w:val="0"/>
          <w:color w:val="auto"/>
          <w:kern w:val="2"/>
          <w:sz w:val="32"/>
          <w:szCs w:val="32"/>
          <w:lang w:val="en-US" w:eastAsia="zh-CN" w:bidi="ar-SA"/>
        </w:rPr>
      </w:pPr>
      <w:r>
        <w:rPr>
          <w:rFonts w:hint="eastAsia" w:eastAsia="方正仿宋简体" w:cs="Times New Roman"/>
          <w:b w:val="0"/>
          <w:color w:val="auto"/>
          <w:kern w:val="2"/>
          <w:sz w:val="32"/>
          <w:szCs w:val="32"/>
          <w:lang w:val="en-US" w:eastAsia="zh-CN" w:bidi="ar-SA"/>
        </w:rPr>
        <w:t>1</w:t>
      </w:r>
      <w:r>
        <w:rPr>
          <w:rFonts w:hint="default" w:eastAsia="方正仿宋简体" w:cs="Times New Roman"/>
          <w:b w:val="0"/>
          <w:color w:val="auto"/>
          <w:kern w:val="2"/>
          <w:sz w:val="32"/>
          <w:szCs w:val="32"/>
          <w:lang w:val="en-US" w:eastAsia="zh-CN" w:bidi="ar-SA"/>
        </w:rPr>
        <w:t>.技术推广。关键农时邀请专家开展田间技术指导</w:t>
      </w:r>
      <w:r>
        <w:rPr>
          <w:rFonts w:hint="eastAsia" w:eastAsia="方正仿宋简体" w:cs="Times New Roman"/>
          <w:b w:val="0"/>
          <w:color w:val="auto"/>
          <w:kern w:val="2"/>
          <w:sz w:val="32"/>
          <w:szCs w:val="32"/>
          <w:lang w:val="en-US" w:eastAsia="zh-CN" w:bidi="ar-SA"/>
        </w:rPr>
        <w:t>3次</w:t>
      </w:r>
      <w:r>
        <w:rPr>
          <w:rFonts w:hint="default" w:eastAsia="方正仿宋简体" w:cs="Times New Roman"/>
          <w:b w:val="0"/>
          <w:color w:val="auto"/>
          <w:kern w:val="2"/>
          <w:sz w:val="32"/>
          <w:szCs w:val="32"/>
          <w:lang w:val="en-US" w:eastAsia="zh-CN" w:bidi="ar-SA"/>
        </w:rPr>
        <w:t>。</w:t>
      </w:r>
    </w:p>
    <w:p w14:paraId="784A0688">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方正仿宋简体" w:cs="Times New Roman"/>
          <w:b w:val="0"/>
          <w:color w:val="auto"/>
          <w:kern w:val="2"/>
          <w:sz w:val="32"/>
          <w:szCs w:val="32"/>
          <w:lang w:val="en-US" w:eastAsia="zh-CN" w:bidi="ar-SA"/>
        </w:rPr>
      </w:pPr>
      <w:r>
        <w:rPr>
          <w:rFonts w:hint="eastAsia" w:eastAsia="方正仿宋简体" w:cs="Times New Roman"/>
          <w:b w:val="0"/>
          <w:color w:val="auto"/>
          <w:kern w:val="2"/>
          <w:sz w:val="32"/>
          <w:szCs w:val="32"/>
          <w:lang w:val="en-US" w:eastAsia="zh-CN" w:bidi="ar-SA"/>
        </w:rPr>
        <w:t>2</w:t>
      </w:r>
      <w:r>
        <w:rPr>
          <w:rFonts w:hint="default" w:eastAsia="方正仿宋简体" w:cs="Times New Roman"/>
          <w:b w:val="0"/>
          <w:color w:val="auto"/>
          <w:kern w:val="2"/>
          <w:sz w:val="32"/>
          <w:szCs w:val="32"/>
          <w:lang w:val="en-US" w:eastAsia="zh-CN" w:bidi="ar-SA"/>
        </w:rPr>
        <w:t>.开展项目核查与资金审计。开展项目实施内容核查与资金使用审计，并出具核查与资金使用审计报告。</w:t>
      </w:r>
    </w:p>
    <w:p w14:paraId="4091D0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eastAsia="方正仿宋简体" w:cs="Times New Roman"/>
          <w:b w:val="0"/>
          <w:color w:val="auto"/>
          <w:kern w:val="2"/>
          <w:sz w:val="32"/>
          <w:szCs w:val="32"/>
          <w:lang w:val="en-US" w:eastAsia="zh-CN" w:bidi="ar-SA"/>
        </w:rPr>
      </w:pPr>
      <w:r>
        <w:rPr>
          <w:rFonts w:hint="eastAsia" w:eastAsia="方正仿宋简体" w:cs="Times New Roman"/>
          <w:b w:val="0"/>
          <w:color w:val="auto"/>
          <w:kern w:val="2"/>
          <w:sz w:val="32"/>
          <w:szCs w:val="32"/>
          <w:lang w:val="en-US" w:eastAsia="zh-CN" w:bidi="ar-SA"/>
        </w:rPr>
        <w:t>3.项目验收。</w:t>
      </w:r>
      <w:r>
        <w:rPr>
          <w:rFonts w:hint="default" w:eastAsia="方正仿宋简体" w:cs="Times New Roman"/>
          <w:b w:val="0"/>
          <w:color w:val="auto"/>
          <w:kern w:val="2"/>
          <w:sz w:val="32"/>
          <w:szCs w:val="32"/>
          <w:lang w:val="en-US" w:eastAsia="zh-CN" w:bidi="ar-SA"/>
        </w:rPr>
        <w:t>项目实施结束后，组织专家对项目进行验收</w:t>
      </w:r>
      <w:r>
        <w:rPr>
          <w:rFonts w:hint="eastAsia" w:eastAsia="方正仿宋简体" w:cs="Times New Roman"/>
          <w:b w:val="0"/>
          <w:color w:val="auto"/>
          <w:kern w:val="2"/>
          <w:sz w:val="32"/>
          <w:szCs w:val="32"/>
          <w:lang w:val="en-US" w:eastAsia="zh-CN" w:bidi="ar-SA"/>
        </w:rPr>
        <w:t>。</w:t>
      </w:r>
    </w:p>
    <w:p w14:paraId="747A031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color w:val="auto"/>
          <w:lang w:eastAsia="zh-CN"/>
        </w:rPr>
      </w:pPr>
      <w:r>
        <w:rPr>
          <w:rFonts w:hint="eastAsia" w:eastAsia="方正黑体简体" w:cs="Times New Roman"/>
          <w:color w:val="auto"/>
          <w:lang w:val="en-US" w:eastAsia="zh-CN"/>
        </w:rPr>
        <w:t>三</w:t>
      </w:r>
      <w:r>
        <w:rPr>
          <w:rFonts w:hint="default" w:ascii="Times New Roman" w:hAnsi="Times New Roman" w:eastAsia="方正黑体简体" w:cs="Times New Roman"/>
          <w:color w:val="auto"/>
          <w:lang w:eastAsia="zh-CN"/>
        </w:rPr>
        <w:t>、经费预算</w:t>
      </w:r>
    </w:p>
    <w:p w14:paraId="4404AB6B">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bookmarkStart w:id="0" w:name="OLE_LINK2"/>
      <w:r>
        <w:rPr>
          <w:rFonts w:hint="default" w:ascii="Times New Roman" w:hAnsi="Times New Roman" w:eastAsia="方正仿宋简体" w:cs="Times New Roman"/>
          <w:color w:val="auto"/>
          <w:lang w:val="en-US" w:eastAsia="zh-CN"/>
        </w:rPr>
        <w:t>项目资金预算</w:t>
      </w:r>
      <w:r>
        <w:rPr>
          <w:rFonts w:hint="eastAsia" w:eastAsia="方正仿宋简体" w:cs="Times New Roman"/>
          <w:color w:val="auto"/>
          <w:lang w:val="en-US" w:eastAsia="zh-CN"/>
        </w:rPr>
        <w:t>843100</w:t>
      </w:r>
      <w:r>
        <w:rPr>
          <w:rFonts w:hint="default" w:ascii="Times New Roman" w:hAnsi="Times New Roman" w:eastAsia="方正仿宋简体" w:cs="Times New Roman"/>
          <w:color w:val="auto"/>
          <w:lang w:val="en-US" w:eastAsia="zh-CN"/>
        </w:rPr>
        <w:t>元，其中</w:t>
      </w:r>
      <w:r>
        <w:rPr>
          <w:rFonts w:hint="eastAsia" w:eastAsia="方正仿宋简体" w:cs="Times New Roman"/>
          <w:color w:val="auto"/>
          <w:lang w:val="en-US" w:eastAsia="zh-CN"/>
        </w:rPr>
        <w:t>市级资金85100元，</w:t>
      </w:r>
      <w:r>
        <w:rPr>
          <w:rFonts w:hint="default" w:ascii="Times New Roman" w:hAnsi="Times New Roman" w:eastAsia="方正仿宋简体" w:cs="Times New Roman"/>
          <w:color w:val="auto"/>
          <w:lang w:val="en-US" w:eastAsia="zh-CN"/>
        </w:rPr>
        <w:t>省级财政补助资金</w:t>
      </w:r>
      <w:r>
        <w:rPr>
          <w:rFonts w:hint="eastAsia" w:eastAsia="方正仿宋简体" w:cs="Times New Roman"/>
          <w:color w:val="auto"/>
          <w:lang w:val="en-US" w:eastAsia="zh-CN"/>
        </w:rPr>
        <w:t>630000</w:t>
      </w:r>
      <w:r>
        <w:rPr>
          <w:rFonts w:hint="default" w:ascii="Times New Roman" w:hAnsi="Times New Roman" w:eastAsia="方正仿宋简体" w:cs="Times New Roman"/>
          <w:color w:val="auto"/>
          <w:lang w:val="en-US" w:eastAsia="zh-CN"/>
        </w:rPr>
        <w:t>元，中央财政资金</w:t>
      </w:r>
      <w:r>
        <w:rPr>
          <w:rFonts w:hint="eastAsia" w:eastAsia="方正仿宋简体" w:cs="Times New Roman"/>
          <w:color w:val="auto"/>
          <w:lang w:val="en-US" w:eastAsia="zh-CN"/>
        </w:rPr>
        <w:t>128000</w:t>
      </w:r>
      <w:r>
        <w:rPr>
          <w:rFonts w:hint="default" w:ascii="Times New Roman" w:hAnsi="Times New Roman" w:eastAsia="方正仿宋简体" w:cs="Times New Roman"/>
          <w:color w:val="auto"/>
          <w:lang w:val="en-US" w:eastAsia="zh-CN"/>
        </w:rPr>
        <w:t>元。（详见表一）。</w:t>
      </w:r>
      <w:bookmarkEnd w:id="0"/>
    </w:p>
    <w:p w14:paraId="335F2D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简体" w:cs="Times New Roman"/>
          <w:color w:val="auto"/>
          <w:lang w:val="en-US" w:eastAsia="zh-CN"/>
        </w:rPr>
      </w:pPr>
      <w:r>
        <w:rPr>
          <w:rFonts w:hint="eastAsia" w:eastAsia="方正楷体简体" w:cs="Times New Roman"/>
          <w:color w:val="auto"/>
          <w:lang w:val="en-US" w:eastAsia="zh-CN"/>
        </w:rPr>
        <w:t>（一）</w:t>
      </w:r>
      <w:r>
        <w:rPr>
          <w:rFonts w:hint="eastAsia" w:ascii="Times New Roman" w:hAnsi="Times New Roman" w:eastAsia="方正楷体简体" w:cs="Times New Roman"/>
          <w:b w:val="0"/>
          <w:bCs w:val="0"/>
          <w:color w:val="auto"/>
          <w:lang w:eastAsia="zh-CN"/>
        </w:rPr>
        <w:t>耕地质量监测</w:t>
      </w:r>
      <w:r>
        <w:rPr>
          <w:rFonts w:hint="eastAsia" w:eastAsia="方正楷体简体" w:cs="Times New Roman"/>
          <w:b w:val="0"/>
          <w:bCs w:val="0"/>
          <w:color w:val="auto"/>
          <w:lang w:val="en-US" w:eastAsia="zh-CN"/>
        </w:rPr>
        <w:t>与评价</w:t>
      </w:r>
    </w:p>
    <w:p w14:paraId="4779BAA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楷体简体" w:cs="Times New Roman"/>
          <w:color w:val="auto"/>
          <w:lang w:val="en-US" w:eastAsia="zh-CN"/>
        </w:rPr>
        <w:t>1.耕地质量监测点补助。</w:t>
      </w:r>
      <w:r>
        <w:rPr>
          <w:rFonts w:hint="default" w:ascii="Times New Roman" w:hAnsi="Times New Roman" w:eastAsia="方正仿宋简体" w:cs="Times New Roman"/>
          <w:color w:val="auto"/>
          <w:lang w:val="en-US" w:eastAsia="zh-CN"/>
        </w:rPr>
        <w:t>对省级监测点的基础设施维护、</w:t>
      </w:r>
      <w:r>
        <w:rPr>
          <w:rFonts w:hint="eastAsia" w:eastAsia="方正仿宋简体" w:cs="Times New Roman"/>
          <w:color w:val="auto"/>
          <w:lang w:val="en-US" w:eastAsia="zh-CN"/>
        </w:rPr>
        <w:t>竖立</w:t>
      </w:r>
      <w:r>
        <w:rPr>
          <w:rFonts w:hint="default" w:ascii="Times New Roman" w:hAnsi="Times New Roman" w:eastAsia="方正仿宋简体" w:cs="Times New Roman"/>
          <w:color w:val="auto"/>
          <w:lang w:val="en-US" w:eastAsia="zh-CN"/>
        </w:rPr>
        <w:t>标牌、小区试验、租地赔产、</w:t>
      </w:r>
      <w:r>
        <w:rPr>
          <w:rFonts w:hint="eastAsia" w:eastAsia="方正仿宋简体" w:cs="Times New Roman"/>
          <w:color w:val="auto"/>
          <w:lang w:val="en-US" w:eastAsia="zh-CN"/>
        </w:rPr>
        <w:t>田间生产情况记载</w:t>
      </w:r>
      <w:r>
        <w:rPr>
          <w:rFonts w:hint="default" w:ascii="Times New Roman" w:hAnsi="Times New Roman" w:eastAsia="方正仿宋简体" w:cs="Times New Roman"/>
          <w:color w:val="auto"/>
          <w:lang w:val="en-US" w:eastAsia="zh-CN"/>
        </w:rPr>
        <w:t>等进行补助，补助标准</w:t>
      </w:r>
      <w:r>
        <w:rPr>
          <w:rFonts w:hint="eastAsia" w:eastAsia="方正仿宋简体" w:cs="Times New Roman"/>
          <w:color w:val="auto"/>
          <w:lang w:val="en-US" w:eastAsia="zh-CN"/>
        </w:rPr>
        <w:t>10000</w:t>
      </w:r>
      <w:r>
        <w:rPr>
          <w:rFonts w:hint="default" w:ascii="Times New Roman" w:hAnsi="Times New Roman" w:eastAsia="方正仿宋简体" w:cs="Times New Roman"/>
          <w:color w:val="auto"/>
          <w:lang w:val="en-US" w:eastAsia="zh-CN"/>
        </w:rPr>
        <w:t>元/点，补助资金</w:t>
      </w:r>
      <w:r>
        <w:rPr>
          <w:rFonts w:hint="eastAsia" w:eastAsia="方正仿宋简体" w:cs="Times New Roman"/>
          <w:color w:val="auto"/>
          <w:lang w:val="en-US" w:eastAsia="zh-CN"/>
        </w:rPr>
        <w:t>90000</w:t>
      </w:r>
      <w:r>
        <w:rPr>
          <w:rFonts w:hint="default" w:ascii="Times New Roman" w:hAnsi="Times New Roman" w:eastAsia="方正仿宋简体" w:cs="Times New Roman"/>
          <w:color w:val="auto"/>
          <w:lang w:val="en-US" w:eastAsia="zh-CN"/>
        </w:rPr>
        <w:t>元。</w:t>
      </w:r>
    </w:p>
    <w:p w14:paraId="774DB53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楷体简体" w:cs="Times New Roman"/>
          <w:color w:val="auto"/>
          <w:lang w:val="en-US" w:eastAsia="zh-CN"/>
        </w:rPr>
        <w:t>2.土壤墒情自动监测站补助。</w:t>
      </w:r>
      <w:r>
        <w:rPr>
          <w:rFonts w:hint="default" w:ascii="Times New Roman" w:hAnsi="Times New Roman" w:eastAsia="方正仿宋简体" w:cs="Times New Roman"/>
          <w:color w:val="auto"/>
          <w:lang w:val="en-US" w:eastAsia="zh-CN"/>
        </w:rPr>
        <w:t>综合墒情监测站补助标准为1</w:t>
      </w:r>
      <w:r>
        <w:rPr>
          <w:rFonts w:hint="eastAsia" w:eastAsia="方正仿宋简体" w:cs="Times New Roman"/>
          <w:color w:val="auto"/>
          <w:lang w:val="en-US" w:eastAsia="zh-CN"/>
        </w:rPr>
        <w:t>2000元</w:t>
      </w:r>
      <w:r>
        <w:rPr>
          <w:rFonts w:hint="default" w:ascii="Times New Roman" w:hAnsi="Times New Roman" w:eastAsia="方正仿宋简体" w:cs="Times New Roman"/>
          <w:color w:val="auto"/>
          <w:lang w:val="en-US" w:eastAsia="zh-CN"/>
        </w:rPr>
        <w:t>/个，数量5个，补助资金</w:t>
      </w:r>
      <w:r>
        <w:rPr>
          <w:rFonts w:hint="eastAsia" w:eastAsia="方正仿宋简体" w:cs="Times New Roman"/>
          <w:color w:val="auto"/>
          <w:lang w:val="en-US" w:eastAsia="zh-CN"/>
        </w:rPr>
        <w:t>60000</w:t>
      </w:r>
      <w:r>
        <w:rPr>
          <w:rFonts w:hint="default" w:ascii="Times New Roman" w:hAnsi="Times New Roman" w:eastAsia="方正仿宋简体" w:cs="Times New Roman"/>
          <w:color w:val="auto"/>
          <w:lang w:val="en-US" w:eastAsia="zh-CN"/>
        </w:rPr>
        <w:t>元；管式墒情监测站补助标</w:t>
      </w:r>
      <w:r>
        <w:rPr>
          <w:rFonts w:hint="eastAsia" w:eastAsia="方正仿宋简体" w:cs="Times New Roman"/>
          <w:color w:val="auto"/>
          <w:lang w:val="en-US" w:eastAsia="zh-CN"/>
        </w:rPr>
        <w:t>准为4000</w:t>
      </w:r>
      <w:r>
        <w:rPr>
          <w:rFonts w:hint="default" w:ascii="Times New Roman" w:hAnsi="Times New Roman" w:eastAsia="方正仿宋简体" w:cs="Times New Roman"/>
          <w:color w:val="auto"/>
          <w:lang w:val="en-US" w:eastAsia="zh-CN"/>
        </w:rPr>
        <w:t>元/个，数量</w:t>
      </w:r>
      <w:r>
        <w:rPr>
          <w:rFonts w:hint="eastAsia" w:eastAsia="方正仿宋简体" w:cs="Times New Roman"/>
          <w:color w:val="auto"/>
          <w:lang w:val="en-US" w:eastAsia="zh-CN"/>
        </w:rPr>
        <w:t>10</w:t>
      </w:r>
      <w:r>
        <w:rPr>
          <w:rFonts w:hint="default" w:ascii="Times New Roman" w:hAnsi="Times New Roman" w:eastAsia="方正仿宋简体" w:cs="Times New Roman"/>
          <w:color w:val="auto"/>
          <w:lang w:val="en-US" w:eastAsia="zh-CN"/>
        </w:rPr>
        <w:t>个，补助资金</w:t>
      </w:r>
      <w:r>
        <w:rPr>
          <w:rFonts w:hint="eastAsia" w:eastAsia="方正仿宋简体" w:cs="Times New Roman"/>
          <w:color w:val="auto"/>
          <w:lang w:val="en-US" w:eastAsia="zh-CN"/>
        </w:rPr>
        <w:t>40000</w:t>
      </w:r>
      <w:r>
        <w:rPr>
          <w:rFonts w:hint="default" w:ascii="Times New Roman" w:hAnsi="Times New Roman" w:eastAsia="方正仿宋简体" w:cs="Times New Roman"/>
          <w:color w:val="auto"/>
          <w:lang w:val="en-US" w:eastAsia="zh-CN"/>
        </w:rPr>
        <w:t>元</w:t>
      </w:r>
      <w:r>
        <w:rPr>
          <w:rFonts w:hint="eastAsia" w:eastAsia="方正仿宋简体" w:cs="Times New Roman"/>
          <w:color w:val="auto"/>
          <w:lang w:val="en-US" w:eastAsia="zh-CN"/>
        </w:rPr>
        <w:t>，共计补助资金100000元。</w:t>
      </w:r>
    </w:p>
    <w:p w14:paraId="57161A6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楷体简体" w:cs="Times New Roman"/>
          <w:color w:val="auto"/>
          <w:lang w:val="en-US" w:eastAsia="zh-CN"/>
        </w:rPr>
        <w:t>3.农产品产地环境监测补助。</w:t>
      </w:r>
      <w:r>
        <w:rPr>
          <w:rFonts w:hint="default" w:ascii="Times New Roman" w:hAnsi="Times New Roman" w:eastAsia="方正仿宋简体" w:cs="Times New Roman"/>
          <w:color w:val="auto"/>
          <w:lang w:val="en-US" w:eastAsia="zh-CN"/>
        </w:rPr>
        <w:t>补助资金</w:t>
      </w:r>
      <w:r>
        <w:rPr>
          <w:rFonts w:hint="eastAsia" w:eastAsia="方正仿宋简体" w:cs="Times New Roman"/>
          <w:color w:val="auto"/>
          <w:lang w:val="en-US" w:eastAsia="zh-CN"/>
        </w:rPr>
        <w:t>65000</w:t>
      </w:r>
      <w:r>
        <w:rPr>
          <w:rFonts w:hint="default" w:ascii="Times New Roman" w:hAnsi="Times New Roman" w:eastAsia="方正仿宋简体" w:cs="Times New Roman"/>
          <w:color w:val="auto"/>
          <w:lang w:val="en-US" w:eastAsia="zh-CN"/>
        </w:rPr>
        <w:t>元。</w:t>
      </w:r>
    </w:p>
    <w:p w14:paraId="3610B5A6">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楷体简体" w:cs="Times New Roman"/>
          <w:color w:val="auto"/>
          <w:lang w:val="en-US" w:eastAsia="zh-CN"/>
        </w:rPr>
        <w:t>4.耕地质量等级调查评价补助。</w:t>
      </w:r>
      <w:r>
        <w:rPr>
          <w:rFonts w:hint="eastAsia" w:eastAsia="方正仿宋简体" w:cs="Times New Roman"/>
          <w:color w:val="auto"/>
          <w:lang w:val="en-US" w:eastAsia="zh-CN"/>
        </w:rPr>
        <w:t>点位调查及</w:t>
      </w:r>
      <w:r>
        <w:rPr>
          <w:rFonts w:hint="default" w:ascii="Times New Roman" w:hAnsi="Times New Roman" w:eastAsia="方正仿宋简体" w:cs="Times New Roman"/>
          <w:color w:val="auto"/>
          <w:lang w:val="en-US" w:eastAsia="zh-CN"/>
        </w:rPr>
        <w:t>土壤样品采集、制备与检测补助标准为</w:t>
      </w:r>
      <w:r>
        <w:rPr>
          <w:rFonts w:hint="eastAsia" w:eastAsia="方正仿宋简体" w:cs="Times New Roman"/>
          <w:color w:val="auto"/>
          <w:lang w:val="en-US" w:eastAsia="zh-CN"/>
        </w:rPr>
        <w:t>1220</w:t>
      </w:r>
      <w:r>
        <w:rPr>
          <w:rFonts w:hint="default" w:ascii="Times New Roman" w:hAnsi="Times New Roman" w:eastAsia="方正仿宋简体" w:cs="Times New Roman"/>
          <w:color w:val="auto"/>
          <w:lang w:val="en-US" w:eastAsia="zh-CN"/>
        </w:rPr>
        <w:t>元/个</w:t>
      </w:r>
      <w:r>
        <w:rPr>
          <w:rFonts w:hint="eastAsia" w:eastAsia="方正仿宋简体" w:cs="Times New Roman"/>
          <w:color w:val="auto"/>
          <w:lang w:val="en-US" w:eastAsia="zh-CN"/>
        </w:rPr>
        <w:t>，共</w:t>
      </w:r>
      <w:r>
        <w:rPr>
          <w:rFonts w:hint="default" w:ascii="Times New Roman" w:hAnsi="Times New Roman" w:eastAsia="方正仿宋简体" w:cs="Times New Roman"/>
          <w:color w:val="auto"/>
          <w:lang w:val="en-US" w:eastAsia="zh-CN"/>
        </w:rPr>
        <w:t>计</w:t>
      </w:r>
      <w:r>
        <w:rPr>
          <w:rFonts w:hint="eastAsia" w:eastAsia="方正仿宋简体" w:cs="Times New Roman"/>
          <w:color w:val="auto"/>
          <w:lang w:val="en-US" w:eastAsia="zh-CN"/>
        </w:rPr>
        <w:t>109800</w:t>
      </w:r>
      <w:r>
        <w:rPr>
          <w:rFonts w:hint="default" w:ascii="Times New Roman" w:hAnsi="Times New Roman" w:eastAsia="方正仿宋简体" w:cs="Times New Roman"/>
          <w:color w:val="auto"/>
          <w:lang w:val="en-US" w:eastAsia="zh-CN"/>
        </w:rPr>
        <w:t>元。图件更新和耕地质量等级评价补助资金5</w:t>
      </w:r>
      <w:r>
        <w:rPr>
          <w:rFonts w:hint="eastAsia" w:eastAsia="方正仿宋简体" w:cs="Times New Roman"/>
          <w:color w:val="auto"/>
          <w:lang w:val="en-US" w:eastAsia="zh-CN"/>
        </w:rPr>
        <w:t>0000</w:t>
      </w:r>
      <w:r>
        <w:rPr>
          <w:rFonts w:hint="default" w:ascii="Times New Roman" w:hAnsi="Times New Roman" w:eastAsia="方正仿宋简体" w:cs="Times New Roman"/>
          <w:color w:val="auto"/>
          <w:lang w:val="en-US" w:eastAsia="zh-CN"/>
        </w:rPr>
        <w:t>元</w:t>
      </w:r>
      <w:r>
        <w:rPr>
          <w:rFonts w:hint="eastAsia" w:eastAsia="方正仿宋简体" w:cs="Times New Roman"/>
          <w:color w:val="auto"/>
          <w:lang w:val="en-US" w:eastAsia="zh-CN"/>
        </w:rPr>
        <w:t>，共计补助资金159800元。</w:t>
      </w:r>
    </w:p>
    <w:p w14:paraId="58C0D3F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简体" w:cs="Times New Roman"/>
          <w:color w:val="auto"/>
          <w:lang w:val="en-US" w:eastAsia="zh-CN"/>
        </w:rPr>
      </w:pPr>
      <w:r>
        <w:rPr>
          <w:rFonts w:hint="eastAsia" w:eastAsia="方正楷体简体" w:cs="Times New Roman"/>
          <w:color w:val="auto"/>
          <w:lang w:val="en-US" w:eastAsia="zh-CN"/>
        </w:rPr>
        <w:t>（二）</w:t>
      </w:r>
      <w:r>
        <w:rPr>
          <w:rFonts w:hint="eastAsia" w:eastAsia="方正楷体简体" w:cs="Times New Roman"/>
          <w:b w:val="0"/>
          <w:bCs w:val="0"/>
          <w:color w:val="auto"/>
          <w:lang w:val="en-US" w:eastAsia="zh-CN"/>
        </w:rPr>
        <w:t>耕地安全利用与补充耕地质量验收</w:t>
      </w:r>
    </w:p>
    <w:p w14:paraId="144F83C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简体" w:cs="Times New Roman"/>
          <w:color w:val="auto"/>
          <w:lang w:val="en-US" w:eastAsia="zh-CN"/>
        </w:rPr>
      </w:pPr>
      <w:r>
        <w:rPr>
          <w:rFonts w:hint="eastAsia" w:eastAsia="方正楷体简体" w:cs="Times New Roman"/>
          <w:color w:val="auto"/>
          <w:lang w:val="en-US" w:eastAsia="zh-CN"/>
        </w:rPr>
        <w:t>1.</w:t>
      </w:r>
      <w:r>
        <w:rPr>
          <w:rFonts w:hint="eastAsia" w:ascii="Times New Roman" w:hAnsi="Times New Roman" w:eastAsia="方正仿宋简体" w:cs="Times New Roman"/>
          <w:b w:val="0"/>
          <w:color w:val="auto"/>
          <w:kern w:val="2"/>
          <w:sz w:val="32"/>
          <w:szCs w:val="32"/>
          <w:lang w:val="en-US" w:eastAsia="zh-CN" w:bidi="ar-SA"/>
        </w:rPr>
        <w:t>原安全利用区监测。</w:t>
      </w:r>
      <w:r>
        <w:rPr>
          <w:rFonts w:hint="eastAsia" w:eastAsia="方正仿宋简体" w:cs="Times New Roman"/>
          <w:b w:val="0"/>
          <w:color w:val="auto"/>
          <w:kern w:val="2"/>
          <w:sz w:val="32"/>
          <w:szCs w:val="32"/>
          <w:lang w:val="en-US" w:eastAsia="zh-CN" w:bidi="ar-SA"/>
        </w:rPr>
        <w:t>补助标准为2000元/个，补助资金20000元。</w:t>
      </w:r>
    </w:p>
    <w:p w14:paraId="5BC66712">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eastAsia="方正仿宋简体" w:cs="Times New Roman"/>
          <w:b w:val="0"/>
          <w:color w:val="auto"/>
          <w:kern w:val="2"/>
          <w:sz w:val="32"/>
          <w:szCs w:val="32"/>
          <w:vertAlign w:val="baseline"/>
          <w:lang w:val="en-US" w:eastAsia="zh-CN" w:bidi="ar-SA"/>
        </w:rPr>
      </w:pPr>
      <w:r>
        <w:rPr>
          <w:rFonts w:hint="eastAsia" w:eastAsia="方正楷体简体" w:cs="Times New Roman"/>
          <w:color w:val="auto"/>
          <w:lang w:val="en-US" w:eastAsia="zh-CN"/>
        </w:rPr>
        <w:t>2.</w:t>
      </w:r>
      <w:r>
        <w:rPr>
          <w:rFonts w:hint="eastAsia" w:ascii="Times New Roman" w:hAnsi="Times New Roman" w:eastAsia="方正仿宋简体" w:cs="Times New Roman"/>
          <w:b w:val="0"/>
          <w:color w:val="auto"/>
          <w:kern w:val="2"/>
          <w:sz w:val="32"/>
          <w:szCs w:val="32"/>
          <w:lang w:val="en-US" w:eastAsia="zh-CN" w:bidi="ar-SA"/>
        </w:rPr>
        <w:t>优先保护类耕地Ⅰ</w:t>
      </w:r>
      <w:r>
        <w:rPr>
          <w:rFonts w:hint="eastAsia" w:ascii="Times New Roman" w:hAnsi="Times New Roman" w:eastAsia="方正仿宋简体" w:cs="Times New Roman"/>
          <w:b w:val="0"/>
          <w:color w:val="auto"/>
          <w:kern w:val="2"/>
          <w:sz w:val="32"/>
          <w:szCs w:val="32"/>
          <w:vertAlign w:val="subscript"/>
          <w:lang w:val="en-US" w:eastAsia="zh-CN" w:bidi="ar-SA"/>
        </w:rPr>
        <w:t>2</w:t>
      </w:r>
      <w:r>
        <w:rPr>
          <w:rFonts w:hint="eastAsia" w:eastAsia="方正仿宋简体" w:cs="Times New Roman"/>
          <w:b w:val="0"/>
          <w:color w:val="auto"/>
          <w:kern w:val="2"/>
          <w:sz w:val="32"/>
          <w:szCs w:val="32"/>
          <w:vertAlign w:val="baseline"/>
          <w:lang w:val="en-US" w:eastAsia="zh-CN" w:bidi="ar-SA"/>
        </w:rPr>
        <w:t>监测。补助资金35300元。</w:t>
      </w:r>
    </w:p>
    <w:p w14:paraId="1568D21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楷体简体" w:cs="Times New Roman"/>
          <w:color w:val="auto"/>
          <w:lang w:val="en-US" w:eastAsia="zh-CN"/>
        </w:rPr>
      </w:pPr>
      <w:r>
        <w:rPr>
          <w:rFonts w:hint="eastAsia" w:eastAsia="方正仿宋简体" w:cs="Times New Roman"/>
          <w:b w:val="0"/>
          <w:color w:val="auto"/>
          <w:kern w:val="2"/>
          <w:sz w:val="32"/>
          <w:szCs w:val="32"/>
          <w:lang w:val="en-US" w:eastAsia="zh-CN" w:bidi="ar-SA"/>
        </w:rPr>
        <w:t>3</w:t>
      </w:r>
      <w:r>
        <w:rPr>
          <w:rFonts w:hint="eastAsia" w:ascii="Times New Roman" w:hAnsi="Times New Roman" w:eastAsia="方正仿宋简体" w:cs="Times New Roman"/>
          <w:b w:val="0"/>
          <w:color w:val="auto"/>
          <w:kern w:val="2"/>
          <w:sz w:val="32"/>
          <w:szCs w:val="32"/>
          <w:lang w:val="en-US" w:eastAsia="zh-CN" w:bidi="ar-SA"/>
        </w:rPr>
        <w:t>.占用耕地质量等级核算</w:t>
      </w:r>
      <w:r>
        <w:rPr>
          <w:rFonts w:hint="eastAsia" w:eastAsia="方正仿宋简体" w:cs="Times New Roman"/>
          <w:b w:val="0"/>
          <w:color w:val="auto"/>
          <w:kern w:val="2"/>
          <w:sz w:val="32"/>
          <w:szCs w:val="32"/>
          <w:lang w:val="en-US" w:eastAsia="zh-CN" w:bidi="ar-SA"/>
        </w:rPr>
        <w:t>。2025年度核算补助资金14800元，2026年度核算补助资金15000元，共计补助资金29800元。</w:t>
      </w:r>
    </w:p>
    <w:p w14:paraId="5FC80538">
      <w:pPr>
        <w:pStyle w:val="5"/>
        <w:ind w:firstLine="640" w:firstLineChars="200"/>
        <w:rPr>
          <w:rFonts w:hint="eastAsia" w:eastAsia="方正楷体简体" w:cs="Times New Roman"/>
          <w:b w:val="0"/>
          <w:bCs w:val="0"/>
          <w:color w:val="auto"/>
          <w:lang w:val="en-US" w:eastAsia="zh-CN"/>
        </w:rPr>
      </w:pPr>
      <w:r>
        <w:rPr>
          <w:rFonts w:hint="eastAsia" w:eastAsia="方正楷体简体" w:cs="Times New Roman"/>
          <w:b w:val="0"/>
          <w:bCs w:val="0"/>
          <w:color w:val="auto"/>
          <w:lang w:val="en-US" w:eastAsia="zh-CN"/>
        </w:rPr>
        <w:t>（三）化肥减量增效</w:t>
      </w:r>
    </w:p>
    <w:p w14:paraId="00F5A7E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lang w:val="en-US" w:eastAsia="zh-CN"/>
        </w:rPr>
      </w:pPr>
      <w:r>
        <w:rPr>
          <w:rFonts w:hint="eastAsia" w:eastAsia="方正仿宋简体" w:cs="Times New Roman"/>
          <w:b w:val="0"/>
          <w:color w:val="auto"/>
          <w:kern w:val="2"/>
          <w:sz w:val="32"/>
          <w:szCs w:val="32"/>
          <w:lang w:val="en-US" w:eastAsia="zh-CN" w:bidi="ar-SA"/>
        </w:rPr>
        <w:t>1.化肥减量增效展示区。种肥同播补助标准20元/亩，补助资金23200元；商品有机肥补助标准400元/吨，补助资金92800元；缓释掺混肥补助标准1500元/吨，补助资金69600元；</w:t>
      </w:r>
      <w:r>
        <w:rPr>
          <w:rFonts w:hint="eastAsia" w:eastAsia="方正仿宋简体" w:cs="Times New Roman"/>
          <w:b w:val="0"/>
          <w:color w:val="auto"/>
          <w:kern w:val="2"/>
          <w:sz w:val="32"/>
          <w:szCs w:val="32"/>
          <w:highlight w:val="none"/>
          <w:lang w:val="en-US" w:eastAsia="zh-CN" w:bidi="ar-SA"/>
        </w:rPr>
        <w:t>配方肥补助标准800元/吨</w:t>
      </w:r>
      <w:r>
        <w:rPr>
          <w:rFonts w:hint="eastAsia" w:eastAsia="方正仿宋简体" w:cs="Times New Roman"/>
          <w:b w:val="0"/>
          <w:color w:val="auto"/>
          <w:kern w:val="2"/>
          <w:sz w:val="32"/>
          <w:szCs w:val="32"/>
          <w:lang w:val="en-US" w:eastAsia="zh-CN" w:bidi="ar-SA"/>
        </w:rPr>
        <w:t>，补助资金13920元，共计补助资金199520元。</w:t>
      </w:r>
    </w:p>
    <w:p w14:paraId="11339C4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eastAsia" w:eastAsia="方正仿宋简体" w:cs="Times New Roman"/>
          <w:b w:val="0"/>
          <w:color w:val="auto"/>
          <w:kern w:val="2"/>
          <w:sz w:val="32"/>
          <w:szCs w:val="32"/>
          <w:lang w:val="en-US" w:eastAsia="zh-CN" w:bidi="ar-SA"/>
        </w:rPr>
        <w:t>2</w:t>
      </w:r>
      <w:r>
        <w:rPr>
          <w:rFonts w:hint="default" w:eastAsia="方正仿宋简体" w:cs="Times New Roman"/>
          <w:b w:val="0"/>
          <w:color w:val="auto"/>
          <w:kern w:val="2"/>
          <w:sz w:val="32"/>
          <w:szCs w:val="32"/>
          <w:lang w:val="en-US" w:eastAsia="zh-CN" w:bidi="ar-SA"/>
        </w:rPr>
        <w:t>.</w:t>
      </w:r>
      <w:r>
        <w:rPr>
          <w:rFonts w:hint="eastAsia" w:eastAsia="方正仿宋简体" w:cs="Times New Roman"/>
          <w:b w:val="0"/>
          <w:color w:val="auto"/>
          <w:kern w:val="2"/>
          <w:sz w:val="32"/>
          <w:szCs w:val="32"/>
          <w:lang w:val="en-US" w:eastAsia="zh-CN" w:bidi="ar-SA"/>
        </w:rPr>
        <w:t>农户施肥调查</w:t>
      </w:r>
      <w:r>
        <w:rPr>
          <w:rFonts w:hint="default" w:eastAsia="方正仿宋简体" w:cs="Times New Roman"/>
          <w:b w:val="0"/>
          <w:color w:val="auto"/>
          <w:kern w:val="2"/>
          <w:sz w:val="32"/>
          <w:szCs w:val="32"/>
          <w:lang w:val="en-US" w:eastAsia="zh-CN" w:bidi="ar-SA"/>
        </w:rPr>
        <w:t>补助。</w:t>
      </w:r>
      <w:r>
        <w:rPr>
          <w:rFonts w:hint="default" w:ascii="Times New Roman" w:hAnsi="Times New Roman" w:eastAsia="方正仿宋简体" w:cs="Times New Roman"/>
          <w:color w:val="auto"/>
          <w:lang w:val="en-US" w:eastAsia="zh-CN"/>
        </w:rPr>
        <w:t>补助资金</w:t>
      </w:r>
      <w:r>
        <w:rPr>
          <w:rFonts w:hint="eastAsia" w:eastAsia="方正仿宋简体" w:cs="Times New Roman"/>
          <w:color w:val="auto"/>
          <w:lang w:val="en-US" w:eastAsia="zh-CN"/>
        </w:rPr>
        <w:t>45100</w:t>
      </w:r>
      <w:r>
        <w:rPr>
          <w:rFonts w:hint="default" w:ascii="Times New Roman" w:hAnsi="Times New Roman" w:eastAsia="方正仿宋简体" w:cs="Times New Roman"/>
          <w:color w:val="auto"/>
          <w:lang w:val="en-US" w:eastAsia="zh-CN"/>
        </w:rPr>
        <w:t>元。</w:t>
      </w:r>
    </w:p>
    <w:p w14:paraId="78695E00">
      <w:pPr>
        <w:keepNext w:val="0"/>
        <w:keepLines w:val="0"/>
        <w:pageBreakBefore w:val="0"/>
        <w:kinsoku/>
        <w:wordWrap/>
        <w:overflowPunct/>
        <w:topLinePunct w:val="0"/>
        <w:autoSpaceDE/>
        <w:autoSpaceDN/>
        <w:bidi w:val="0"/>
        <w:adjustRightInd/>
        <w:snapToGrid w:val="0"/>
        <w:spacing w:beforeAutospacing="0" w:afterAutospacing="0" w:line="540" w:lineRule="exact"/>
        <w:ind w:firstLine="640" w:firstLineChars="200"/>
        <w:jc w:val="both"/>
        <w:textAlignment w:val="auto"/>
        <w:rPr>
          <w:rFonts w:hint="default" w:eastAsia="方正楷体简体" w:cs="Times New Roman"/>
          <w:color w:val="auto"/>
          <w:lang w:val="en-US" w:eastAsia="zh-CN"/>
        </w:rPr>
      </w:pPr>
      <w:r>
        <w:rPr>
          <w:rFonts w:hint="eastAsia" w:eastAsia="方正楷体简体" w:cs="Times New Roman"/>
          <w:color w:val="auto"/>
          <w:lang w:val="en-US" w:eastAsia="zh-CN"/>
        </w:rPr>
        <w:t>3.</w:t>
      </w:r>
      <w:r>
        <w:rPr>
          <w:rFonts w:hint="eastAsia" w:eastAsia="方正仿宋简体" w:cs="Times New Roman"/>
          <w:b w:val="0"/>
          <w:color w:val="auto"/>
          <w:kern w:val="2"/>
          <w:sz w:val="32"/>
          <w:szCs w:val="32"/>
          <w:lang w:val="en-US" w:eastAsia="zh-CN" w:bidi="ar-SA"/>
        </w:rPr>
        <w:t>田间试验。补助资金82000元。</w:t>
      </w:r>
    </w:p>
    <w:p w14:paraId="6A17CB80">
      <w:pPr>
        <w:keepNext w:val="0"/>
        <w:keepLines w:val="0"/>
        <w:pageBreakBefore w:val="0"/>
        <w:kinsoku/>
        <w:wordWrap/>
        <w:overflowPunct/>
        <w:topLinePunct w:val="0"/>
        <w:autoSpaceDE/>
        <w:autoSpaceDN/>
        <w:bidi w:val="0"/>
        <w:adjustRightInd/>
        <w:snapToGrid w:val="0"/>
        <w:spacing w:beforeAutospacing="0" w:afterAutospacing="0" w:line="540" w:lineRule="exact"/>
        <w:ind w:firstLine="640" w:firstLineChars="200"/>
        <w:jc w:val="both"/>
        <w:textAlignment w:val="auto"/>
        <w:rPr>
          <w:rFonts w:hint="eastAsia" w:eastAsia="方正楷体简体" w:cs="Times New Roman"/>
          <w:color w:val="auto"/>
          <w:lang w:val="en-US" w:eastAsia="zh-CN"/>
        </w:rPr>
      </w:pPr>
      <w:r>
        <w:rPr>
          <w:rFonts w:hint="eastAsia" w:eastAsia="方正楷体简体" w:cs="Times New Roman"/>
          <w:color w:val="auto"/>
          <w:lang w:val="en-US" w:eastAsia="zh-CN"/>
        </w:rPr>
        <w:t>（四）效果监测与项目管理</w:t>
      </w:r>
    </w:p>
    <w:p w14:paraId="5C050997">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eastAsia" w:eastAsia="方正仿宋简体" w:cs="Times New Roman"/>
          <w:color w:val="auto"/>
          <w:lang w:val="en-US" w:eastAsia="zh-CN"/>
        </w:rPr>
        <w:t>专家技术指导补助标准为1000元/次，补助资金3000元；第三方核查与资金审计补助资金8400元；项目验收专家评审费5180元。</w:t>
      </w:r>
    </w:p>
    <w:p w14:paraId="56122CB7">
      <w:pPr>
        <w:keepNext w:val="0"/>
        <w:keepLines w:val="0"/>
        <w:pageBreakBefore w:val="0"/>
        <w:numPr>
          <w:ilvl w:val="0"/>
          <w:numId w:val="0"/>
        </w:numPr>
        <w:kinsoku/>
        <w:wordWrap/>
        <w:overflowPunct/>
        <w:topLinePunct w:val="0"/>
        <w:autoSpaceDE/>
        <w:autoSpaceDN/>
        <w:bidi w:val="0"/>
        <w:spacing w:line="560" w:lineRule="exact"/>
        <w:jc w:val="center"/>
        <w:rPr>
          <w:rFonts w:hint="default" w:ascii="Times New Roman" w:hAnsi="Times New Roman" w:eastAsia="方正仿宋简体" w:cs="Times New Roman"/>
          <w:b/>
          <w:bCs/>
          <w:color w:val="auto"/>
          <w:sz w:val="24"/>
          <w:szCs w:val="24"/>
          <w:lang w:val="en-US" w:eastAsia="zh-CN"/>
        </w:rPr>
      </w:pPr>
      <w:r>
        <w:rPr>
          <w:rFonts w:hint="default" w:ascii="Times New Roman" w:hAnsi="Times New Roman" w:eastAsia="方正仿宋简体" w:cs="Times New Roman"/>
          <w:b/>
          <w:bCs/>
          <w:color w:val="auto"/>
          <w:sz w:val="24"/>
          <w:szCs w:val="24"/>
          <w:lang w:val="en-US" w:eastAsia="zh-CN"/>
        </w:rPr>
        <w:t>表一  2026年六合区化肥减量增效与耕地质量监测评价项目资金使用预算表</w:t>
      </w:r>
    </w:p>
    <w:tbl>
      <w:tblPr>
        <w:tblStyle w:val="7"/>
        <w:tblW w:w="98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9"/>
        <w:gridCol w:w="1065"/>
        <w:gridCol w:w="1725"/>
        <w:gridCol w:w="1005"/>
        <w:gridCol w:w="1635"/>
        <w:gridCol w:w="1185"/>
        <w:gridCol w:w="1125"/>
        <w:gridCol w:w="1158"/>
      </w:tblGrid>
      <w:tr w14:paraId="3FF81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7" w:hRule="atLeast"/>
          <w:jc w:val="center"/>
        </w:trPr>
        <w:tc>
          <w:tcPr>
            <w:tcW w:w="979" w:type="dxa"/>
            <w:noWrap w:val="0"/>
            <w:vAlign w:val="center"/>
          </w:tcPr>
          <w:p w14:paraId="5D3C852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default" w:ascii="Times New Roman" w:hAnsi="Times New Roman" w:eastAsia="方正仿宋简体" w:cs="Times New Roman"/>
                <w:color w:val="auto"/>
                <w:sz w:val="21"/>
                <w:szCs w:val="21"/>
                <w:lang w:eastAsia="zh-CN"/>
              </w:rPr>
              <w:t>任务名称</w:t>
            </w:r>
          </w:p>
        </w:tc>
        <w:tc>
          <w:tcPr>
            <w:tcW w:w="2790" w:type="dxa"/>
            <w:gridSpan w:val="2"/>
            <w:noWrap w:val="0"/>
            <w:vAlign w:val="center"/>
          </w:tcPr>
          <w:p w14:paraId="172DB7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rPr>
            </w:pPr>
            <w:r>
              <w:rPr>
                <w:rFonts w:hint="default" w:ascii="Times New Roman" w:hAnsi="Times New Roman" w:eastAsia="方正仿宋简体" w:cs="Times New Roman"/>
                <w:color w:val="auto"/>
                <w:sz w:val="21"/>
                <w:szCs w:val="21"/>
              </w:rPr>
              <w:t>实施内容</w:t>
            </w:r>
          </w:p>
        </w:tc>
        <w:tc>
          <w:tcPr>
            <w:tcW w:w="1005" w:type="dxa"/>
            <w:noWrap w:val="0"/>
            <w:vAlign w:val="center"/>
          </w:tcPr>
          <w:p w14:paraId="62C062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default" w:ascii="Times New Roman" w:hAnsi="Times New Roman" w:eastAsia="方正仿宋简体" w:cs="Times New Roman"/>
                <w:color w:val="auto"/>
                <w:sz w:val="21"/>
                <w:szCs w:val="21"/>
                <w:lang w:eastAsia="zh-CN"/>
              </w:rPr>
              <w:t>补助数量</w:t>
            </w:r>
          </w:p>
        </w:tc>
        <w:tc>
          <w:tcPr>
            <w:tcW w:w="1635" w:type="dxa"/>
            <w:noWrap w:val="0"/>
            <w:vAlign w:val="center"/>
          </w:tcPr>
          <w:p w14:paraId="04F9E8E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default" w:ascii="Times New Roman" w:hAnsi="Times New Roman" w:eastAsia="方正仿宋简体" w:cs="Times New Roman"/>
                <w:color w:val="auto"/>
                <w:sz w:val="21"/>
                <w:szCs w:val="21"/>
                <w:lang w:eastAsia="zh-CN"/>
              </w:rPr>
              <w:t>补助标准</w:t>
            </w:r>
          </w:p>
        </w:tc>
        <w:tc>
          <w:tcPr>
            <w:tcW w:w="1185" w:type="dxa"/>
            <w:noWrap w:val="0"/>
            <w:vAlign w:val="center"/>
          </w:tcPr>
          <w:p w14:paraId="0909F1B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市级</w:t>
            </w:r>
            <w:r>
              <w:rPr>
                <w:rFonts w:hint="default" w:ascii="Times New Roman" w:hAnsi="Times New Roman" w:eastAsia="方正仿宋简体" w:cs="Times New Roman"/>
                <w:color w:val="auto"/>
                <w:sz w:val="21"/>
                <w:szCs w:val="21"/>
                <w:lang w:val="en-US" w:eastAsia="zh-CN"/>
              </w:rPr>
              <w:t>资金（元）</w:t>
            </w:r>
          </w:p>
        </w:tc>
        <w:tc>
          <w:tcPr>
            <w:tcW w:w="1125" w:type="dxa"/>
            <w:noWrap w:val="0"/>
            <w:vAlign w:val="center"/>
          </w:tcPr>
          <w:p w14:paraId="199E7F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rPr>
            </w:pPr>
            <w:r>
              <w:rPr>
                <w:rFonts w:hint="default" w:ascii="Times New Roman" w:hAnsi="Times New Roman" w:eastAsia="方正仿宋简体" w:cs="Times New Roman"/>
                <w:color w:val="auto"/>
                <w:sz w:val="21"/>
                <w:szCs w:val="21"/>
                <w:lang w:val="en-US" w:eastAsia="zh-CN"/>
              </w:rPr>
              <w:t>省级资金（元）</w:t>
            </w:r>
          </w:p>
        </w:tc>
        <w:tc>
          <w:tcPr>
            <w:tcW w:w="1158" w:type="dxa"/>
            <w:noWrap w:val="0"/>
            <w:vAlign w:val="center"/>
          </w:tcPr>
          <w:p w14:paraId="45F4577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中央</w:t>
            </w:r>
            <w:r>
              <w:rPr>
                <w:rFonts w:hint="default" w:ascii="Times New Roman" w:hAnsi="Times New Roman" w:eastAsia="方正仿宋简体" w:cs="Times New Roman"/>
                <w:color w:val="auto"/>
                <w:sz w:val="21"/>
                <w:szCs w:val="21"/>
                <w:lang w:val="en-US" w:eastAsia="zh-CN"/>
              </w:rPr>
              <w:t>资金（元）</w:t>
            </w:r>
          </w:p>
        </w:tc>
      </w:tr>
      <w:tr w14:paraId="772B9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979" w:type="dxa"/>
            <w:vMerge w:val="restart"/>
            <w:noWrap w:val="0"/>
            <w:vAlign w:val="center"/>
          </w:tcPr>
          <w:p w14:paraId="29A4B95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eastAsia" w:ascii="Times New Roman" w:hAnsi="Times New Roman" w:eastAsia="方正仿宋简体" w:cs="Times New Roman"/>
                <w:color w:val="auto"/>
                <w:sz w:val="21"/>
                <w:szCs w:val="21"/>
                <w:lang w:val="en-US" w:eastAsia="zh-CN"/>
              </w:rPr>
              <w:t>耕地质量监测与评价</w:t>
            </w:r>
          </w:p>
        </w:tc>
        <w:tc>
          <w:tcPr>
            <w:tcW w:w="2790" w:type="dxa"/>
            <w:gridSpan w:val="2"/>
            <w:noWrap w:val="0"/>
            <w:vAlign w:val="center"/>
          </w:tcPr>
          <w:p w14:paraId="21D4C3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eastAsia" w:eastAsia="方正仿宋简体" w:cs="Times New Roman"/>
                <w:color w:val="auto"/>
                <w:sz w:val="21"/>
                <w:szCs w:val="21"/>
                <w:lang w:val="en-US" w:eastAsia="zh-CN"/>
              </w:rPr>
              <w:t>省级</w:t>
            </w:r>
            <w:r>
              <w:rPr>
                <w:rFonts w:hint="default" w:ascii="Times New Roman" w:hAnsi="Times New Roman" w:eastAsia="方正仿宋简体" w:cs="Times New Roman"/>
                <w:color w:val="auto"/>
                <w:sz w:val="21"/>
                <w:szCs w:val="21"/>
                <w:lang w:eastAsia="zh-CN"/>
              </w:rPr>
              <w:t>监测点监测与维护</w:t>
            </w:r>
          </w:p>
        </w:tc>
        <w:tc>
          <w:tcPr>
            <w:tcW w:w="1005" w:type="dxa"/>
            <w:noWrap w:val="0"/>
            <w:vAlign w:val="center"/>
          </w:tcPr>
          <w:p w14:paraId="4C646E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default" w:ascii="Times New Roman" w:hAnsi="Times New Roman" w:eastAsia="方正仿宋简体" w:cs="Times New Roman"/>
                <w:color w:val="auto"/>
                <w:sz w:val="21"/>
                <w:szCs w:val="21"/>
                <w:lang w:val="en-US" w:eastAsia="zh-CN"/>
              </w:rPr>
              <w:t>9</w:t>
            </w:r>
            <w:r>
              <w:rPr>
                <w:rFonts w:hint="eastAsia" w:eastAsia="方正仿宋简体" w:cs="Times New Roman"/>
                <w:color w:val="auto"/>
                <w:sz w:val="21"/>
                <w:szCs w:val="21"/>
                <w:lang w:val="en-US" w:eastAsia="zh-CN"/>
              </w:rPr>
              <w:t>个</w:t>
            </w:r>
          </w:p>
        </w:tc>
        <w:tc>
          <w:tcPr>
            <w:tcW w:w="1635" w:type="dxa"/>
            <w:noWrap w:val="0"/>
            <w:vAlign w:val="center"/>
          </w:tcPr>
          <w:p w14:paraId="013F7E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10000</w:t>
            </w:r>
            <w:r>
              <w:rPr>
                <w:rFonts w:hint="default" w:ascii="Times New Roman" w:hAnsi="Times New Roman" w:eastAsia="方正仿宋简体" w:cs="Times New Roman"/>
                <w:color w:val="auto"/>
                <w:sz w:val="21"/>
                <w:szCs w:val="21"/>
                <w:lang w:val="en-US" w:eastAsia="zh-CN"/>
              </w:rPr>
              <w:t>元/个</w:t>
            </w:r>
          </w:p>
        </w:tc>
        <w:tc>
          <w:tcPr>
            <w:tcW w:w="1185" w:type="dxa"/>
            <w:noWrap w:val="0"/>
            <w:vAlign w:val="center"/>
          </w:tcPr>
          <w:p w14:paraId="42B210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68A48EA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90000</w:t>
            </w:r>
          </w:p>
        </w:tc>
        <w:tc>
          <w:tcPr>
            <w:tcW w:w="1158" w:type="dxa"/>
            <w:noWrap w:val="0"/>
            <w:vAlign w:val="center"/>
          </w:tcPr>
          <w:p w14:paraId="13D767A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p>
        </w:tc>
      </w:tr>
      <w:tr w14:paraId="2AB4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979" w:type="dxa"/>
            <w:vMerge w:val="continue"/>
            <w:noWrap w:val="0"/>
            <w:vAlign w:val="center"/>
          </w:tcPr>
          <w:p w14:paraId="5B3EA0D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p>
        </w:tc>
        <w:tc>
          <w:tcPr>
            <w:tcW w:w="1065" w:type="dxa"/>
            <w:vMerge w:val="restart"/>
            <w:noWrap w:val="0"/>
            <w:vAlign w:val="center"/>
          </w:tcPr>
          <w:p w14:paraId="66E774A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default" w:ascii="Times New Roman" w:hAnsi="Times New Roman" w:eastAsia="方正仿宋简体" w:cs="Times New Roman"/>
                <w:color w:val="auto"/>
                <w:sz w:val="21"/>
                <w:szCs w:val="21"/>
                <w:lang w:eastAsia="zh-CN"/>
              </w:rPr>
              <w:t>土壤墒情监测</w:t>
            </w:r>
          </w:p>
        </w:tc>
        <w:tc>
          <w:tcPr>
            <w:tcW w:w="1725" w:type="dxa"/>
            <w:noWrap w:val="0"/>
            <w:vAlign w:val="center"/>
          </w:tcPr>
          <w:p w14:paraId="4B06065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综合墒情</w:t>
            </w:r>
            <w:r>
              <w:rPr>
                <w:rFonts w:hint="default" w:ascii="Times New Roman" w:hAnsi="Times New Roman" w:eastAsia="方正仿宋简体" w:cs="Times New Roman"/>
                <w:color w:val="auto"/>
                <w:sz w:val="21"/>
                <w:szCs w:val="21"/>
              </w:rPr>
              <w:t>监测点</w:t>
            </w:r>
          </w:p>
        </w:tc>
        <w:tc>
          <w:tcPr>
            <w:tcW w:w="1005" w:type="dxa"/>
            <w:noWrap w:val="0"/>
            <w:vAlign w:val="center"/>
          </w:tcPr>
          <w:p w14:paraId="37F508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default" w:ascii="Times New Roman" w:hAnsi="Times New Roman" w:eastAsia="方正仿宋简体" w:cs="Times New Roman"/>
                <w:color w:val="auto"/>
                <w:sz w:val="21"/>
                <w:szCs w:val="21"/>
                <w:highlight w:val="none"/>
                <w:lang w:val="en-US" w:eastAsia="zh-CN"/>
              </w:rPr>
              <w:t>5</w:t>
            </w:r>
            <w:r>
              <w:rPr>
                <w:rFonts w:hint="eastAsia" w:eastAsia="方正仿宋简体" w:cs="Times New Roman"/>
                <w:color w:val="auto"/>
                <w:sz w:val="21"/>
                <w:szCs w:val="21"/>
                <w:lang w:val="en-US" w:eastAsia="zh-CN"/>
              </w:rPr>
              <w:t>个</w:t>
            </w:r>
          </w:p>
        </w:tc>
        <w:tc>
          <w:tcPr>
            <w:tcW w:w="1635" w:type="dxa"/>
            <w:noWrap w:val="0"/>
            <w:vAlign w:val="center"/>
          </w:tcPr>
          <w:p w14:paraId="63B817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12000</w:t>
            </w:r>
            <w:r>
              <w:rPr>
                <w:rFonts w:hint="default" w:ascii="Times New Roman" w:hAnsi="Times New Roman" w:eastAsia="方正仿宋简体" w:cs="Times New Roman"/>
                <w:color w:val="auto"/>
                <w:sz w:val="21"/>
                <w:szCs w:val="21"/>
                <w:lang w:val="en-US" w:eastAsia="zh-CN"/>
              </w:rPr>
              <w:t>元/个</w:t>
            </w:r>
          </w:p>
        </w:tc>
        <w:tc>
          <w:tcPr>
            <w:tcW w:w="1185" w:type="dxa"/>
            <w:noWrap w:val="0"/>
            <w:vAlign w:val="center"/>
          </w:tcPr>
          <w:p w14:paraId="237A22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highlight w:val="none"/>
                <w:lang w:val="en-US" w:eastAsia="zh-CN"/>
              </w:rPr>
            </w:pPr>
          </w:p>
        </w:tc>
        <w:tc>
          <w:tcPr>
            <w:tcW w:w="1125" w:type="dxa"/>
            <w:noWrap w:val="0"/>
            <w:vAlign w:val="center"/>
          </w:tcPr>
          <w:p w14:paraId="24FB0B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60000</w:t>
            </w:r>
          </w:p>
        </w:tc>
        <w:tc>
          <w:tcPr>
            <w:tcW w:w="1158" w:type="dxa"/>
            <w:noWrap w:val="0"/>
            <w:vAlign w:val="center"/>
          </w:tcPr>
          <w:p w14:paraId="3C13498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highlight w:val="none"/>
                <w:lang w:val="en-US" w:eastAsia="zh-CN" w:bidi="ar-SA"/>
              </w:rPr>
            </w:pPr>
          </w:p>
        </w:tc>
      </w:tr>
      <w:tr w14:paraId="4D8B5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79" w:type="dxa"/>
            <w:vMerge w:val="continue"/>
            <w:noWrap w:val="0"/>
            <w:vAlign w:val="center"/>
          </w:tcPr>
          <w:p w14:paraId="574DB19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p>
        </w:tc>
        <w:tc>
          <w:tcPr>
            <w:tcW w:w="1065" w:type="dxa"/>
            <w:vMerge w:val="continue"/>
            <w:noWrap w:val="0"/>
            <w:vAlign w:val="center"/>
          </w:tcPr>
          <w:p w14:paraId="49A740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p>
        </w:tc>
        <w:tc>
          <w:tcPr>
            <w:tcW w:w="1725" w:type="dxa"/>
            <w:noWrap w:val="0"/>
            <w:vAlign w:val="center"/>
          </w:tcPr>
          <w:p w14:paraId="269018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管式墒情监测点</w:t>
            </w:r>
          </w:p>
        </w:tc>
        <w:tc>
          <w:tcPr>
            <w:tcW w:w="1005" w:type="dxa"/>
            <w:noWrap w:val="0"/>
            <w:vAlign w:val="center"/>
          </w:tcPr>
          <w:p w14:paraId="3FA66F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10</w:t>
            </w:r>
            <w:r>
              <w:rPr>
                <w:rFonts w:hint="eastAsia" w:eastAsia="方正仿宋简体" w:cs="Times New Roman"/>
                <w:color w:val="auto"/>
                <w:sz w:val="21"/>
                <w:szCs w:val="21"/>
                <w:lang w:val="en-US" w:eastAsia="zh-CN"/>
              </w:rPr>
              <w:t>个</w:t>
            </w:r>
          </w:p>
        </w:tc>
        <w:tc>
          <w:tcPr>
            <w:tcW w:w="1635" w:type="dxa"/>
            <w:noWrap w:val="0"/>
            <w:vAlign w:val="center"/>
          </w:tcPr>
          <w:p w14:paraId="67C3CC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4000</w:t>
            </w:r>
            <w:r>
              <w:rPr>
                <w:rFonts w:hint="default" w:ascii="Times New Roman" w:hAnsi="Times New Roman" w:eastAsia="方正仿宋简体" w:cs="Times New Roman"/>
                <w:color w:val="auto"/>
                <w:sz w:val="21"/>
                <w:szCs w:val="21"/>
                <w:lang w:val="en-US" w:eastAsia="zh-CN"/>
              </w:rPr>
              <w:t>元/个</w:t>
            </w:r>
          </w:p>
        </w:tc>
        <w:tc>
          <w:tcPr>
            <w:tcW w:w="1185" w:type="dxa"/>
            <w:noWrap w:val="0"/>
            <w:vAlign w:val="center"/>
          </w:tcPr>
          <w:p w14:paraId="7E69D5D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highlight w:val="none"/>
                <w:lang w:val="en-US" w:eastAsia="zh-CN"/>
              </w:rPr>
            </w:pPr>
          </w:p>
        </w:tc>
        <w:tc>
          <w:tcPr>
            <w:tcW w:w="1125" w:type="dxa"/>
            <w:noWrap w:val="0"/>
            <w:vAlign w:val="center"/>
          </w:tcPr>
          <w:p w14:paraId="66E50F5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40000</w:t>
            </w:r>
          </w:p>
        </w:tc>
        <w:tc>
          <w:tcPr>
            <w:tcW w:w="1158" w:type="dxa"/>
            <w:noWrap w:val="0"/>
            <w:vAlign w:val="center"/>
          </w:tcPr>
          <w:p w14:paraId="26C794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highlight w:val="none"/>
                <w:lang w:val="en-US" w:eastAsia="zh-CN" w:bidi="ar-SA"/>
              </w:rPr>
            </w:pPr>
          </w:p>
        </w:tc>
      </w:tr>
      <w:tr w14:paraId="47699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79" w:type="dxa"/>
            <w:vMerge w:val="continue"/>
            <w:noWrap w:val="0"/>
            <w:vAlign w:val="center"/>
          </w:tcPr>
          <w:p w14:paraId="31F78D9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065" w:type="dxa"/>
            <w:vMerge w:val="restart"/>
            <w:noWrap w:val="0"/>
            <w:vAlign w:val="center"/>
          </w:tcPr>
          <w:p w14:paraId="16A550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rPr>
            </w:pPr>
            <w:r>
              <w:rPr>
                <w:rFonts w:hint="default" w:ascii="Times New Roman" w:hAnsi="Times New Roman" w:eastAsia="方正仿宋简体" w:cs="Times New Roman"/>
                <w:color w:val="auto"/>
                <w:sz w:val="21"/>
                <w:szCs w:val="21"/>
                <w:lang w:val="en-US" w:eastAsia="zh-CN"/>
              </w:rPr>
              <w:t>耕地质量等级调查评价</w:t>
            </w:r>
          </w:p>
        </w:tc>
        <w:tc>
          <w:tcPr>
            <w:tcW w:w="1725" w:type="dxa"/>
            <w:noWrap w:val="0"/>
            <w:vAlign w:val="center"/>
          </w:tcPr>
          <w:p w14:paraId="632052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b w:val="0"/>
                <w:color w:val="auto"/>
                <w:kern w:val="2"/>
                <w:sz w:val="21"/>
                <w:szCs w:val="21"/>
                <w:lang w:val="en-US" w:eastAsia="zh-CN" w:bidi="ar-SA"/>
              </w:rPr>
            </w:pPr>
            <w:r>
              <w:rPr>
                <w:rFonts w:hint="eastAsia" w:eastAsia="方正仿宋简体" w:cs="Times New Roman"/>
                <w:color w:val="auto"/>
                <w:sz w:val="21"/>
                <w:szCs w:val="21"/>
                <w:lang w:val="en-US" w:eastAsia="zh-CN"/>
              </w:rPr>
              <w:t>调查与采样检测</w:t>
            </w:r>
          </w:p>
        </w:tc>
        <w:tc>
          <w:tcPr>
            <w:tcW w:w="1005" w:type="dxa"/>
            <w:noWrap w:val="0"/>
            <w:vAlign w:val="center"/>
          </w:tcPr>
          <w:p w14:paraId="26DDB78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90个</w:t>
            </w:r>
          </w:p>
        </w:tc>
        <w:tc>
          <w:tcPr>
            <w:tcW w:w="1635" w:type="dxa"/>
            <w:noWrap w:val="0"/>
            <w:vAlign w:val="center"/>
          </w:tcPr>
          <w:p w14:paraId="54FDA0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1220</w:t>
            </w:r>
            <w:r>
              <w:rPr>
                <w:rFonts w:hint="default" w:ascii="Times New Roman" w:hAnsi="Times New Roman" w:eastAsia="方正仿宋简体" w:cs="Times New Roman"/>
                <w:color w:val="auto"/>
                <w:sz w:val="21"/>
                <w:szCs w:val="21"/>
                <w:lang w:val="en-US" w:eastAsia="zh-CN"/>
              </w:rPr>
              <w:t>元/个</w:t>
            </w:r>
          </w:p>
        </w:tc>
        <w:tc>
          <w:tcPr>
            <w:tcW w:w="1185" w:type="dxa"/>
            <w:noWrap w:val="0"/>
            <w:vAlign w:val="center"/>
          </w:tcPr>
          <w:p w14:paraId="55D9E9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5394785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109800</w:t>
            </w:r>
          </w:p>
        </w:tc>
        <w:tc>
          <w:tcPr>
            <w:tcW w:w="1158" w:type="dxa"/>
            <w:noWrap w:val="0"/>
            <w:vAlign w:val="center"/>
          </w:tcPr>
          <w:p w14:paraId="6A59AD4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6DD49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79" w:type="dxa"/>
            <w:vMerge w:val="continue"/>
            <w:noWrap w:val="0"/>
            <w:vAlign w:val="center"/>
          </w:tcPr>
          <w:p w14:paraId="751AAE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065" w:type="dxa"/>
            <w:vMerge w:val="continue"/>
            <w:noWrap w:val="0"/>
            <w:vAlign w:val="center"/>
          </w:tcPr>
          <w:p w14:paraId="517032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rPr>
            </w:pPr>
          </w:p>
        </w:tc>
        <w:tc>
          <w:tcPr>
            <w:tcW w:w="1725" w:type="dxa"/>
            <w:noWrap w:val="0"/>
            <w:vAlign w:val="center"/>
          </w:tcPr>
          <w:p w14:paraId="5C3C59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等级评价</w:t>
            </w:r>
          </w:p>
        </w:tc>
        <w:tc>
          <w:tcPr>
            <w:tcW w:w="1005" w:type="dxa"/>
            <w:noWrap w:val="0"/>
            <w:vAlign w:val="center"/>
          </w:tcPr>
          <w:p w14:paraId="0793EE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1项</w:t>
            </w:r>
          </w:p>
        </w:tc>
        <w:tc>
          <w:tcPr>
            <w:tcW w:w="1635" w:type="dxa"/>
            <w:noWrap w:val="0"/>
            <w:vAlign w:val="center"/>
          </w:tcPr>
          <w:p w14:paraId="21C863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50000</w:t>
            </w:r>
            <w:r>
              <w:rPr>
                <w:rFonts w:hint="default" w:ascii="Times New Roman" w:hAnsi="Times New Roman" w:eastAsia="方正仿宋简体" w:cs="Times New Roman"/>
                <w:color w:val="auto"/>
                <w:sz w:val="21"/>
                <w:szCs w:val="21"/>
                <w:lang w:val="en-US" w:eastAsia="zh-CN"/>
              </w:rPr>
              <w:t>元/</w:t>
            </w:r>
            <w:r>
              <w:rPr>
                <w:rFonts w:hint="eastAsia" w:eastAsia="方正仿宋简体" w:cs="Times New Roman"/>
                <w:color w:val="auto"/>
                <w:sz w:val="21"/>
                <w:szCs w:val="21"/>
                <w:lang w:val="en-US" w:eastAsia="zh-CN"/>
              </w:rPr>
              <w:t>项</w:t>
            </w:r>
          </w:p>
        </w:tc>
        <w:tc>
          <w:tcPr>
            <w:tcW w:w="1185" w:type="dxa"/>
            <w:noWrap w:val="0"/>
            <w:vAlign w:val="center"/>
          </w:tcPr>
          <w:p w14:paraId="12E91F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72FFFC9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50000</w:t>
            </w:r>
          </w:p>
        </w:tc>
        <w:tc>
          <w:tcPr>
            <w:tcW w:w="1158" w:type="dxa"/>
            <w:noWrap w:val="0"/>
            <w:vAlign w:val="center"/>
          </w:tcPr>
          <w:p w14:paraId="3C94304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6D046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79" w:type="dxa"/>
            <w:vMerge w:val="continue"/>
            <w:noWrap w:val="0"/>
            <w:vAlign w:val="center"/>
          </w:tcPr>
          <w:p w14:paraId="5586132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2790" w:type="dxa"/>
            <w:gridSpan w:val="2"/>
            <w:noWrap w:val="0"/>
            <w:vAlign w:val="center"/>
          </w:tcPr>
          <w:p w14:paraId="7CFBB28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农产品产地环境例行监测</w:t>
            </w:r>
          </w:p>
        </w:tc>
        <w:tc>
          <w:tcPr>
            <w:tcW w:w="1005" w:type="dxa"/>
            <w:noWrap w:val="0"/>
            <w:vAlign w:val="center"/>
          </w:tcPr>
          <w:p w14:paraId="78732D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33个</w:t>
            </w:r>
          </w:p>
        </w:tc>
        <w:tc>
          <w:tcPr>
            <w:tcW w:w="1635" w:type="dxa"/>
            <w:noWrap w:val="0"/>
            <w:vAlign w:val="center"/>
          </w:tcPr>
          <w:p w14:paraId="0CCA4E9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72357FD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666ED56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65000</w:t>
            </w:r>
          </w:p>
        </w:tc>
        <w:tc>
          <w:tcPr>
            <w:tcW w:w="1158" w:type="dxa"/>
            <w:noWrap w:val="0"/>
            <w:vAlign w:val="center"/>
          </w:tcPr>
          <w:p w14:paraId="4C352D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5E27B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79" w:type="dxa"/>
            <w:vMerge w:val="restart"/>
            <w:noWrap w:val="0"/>
            <w:vAlign w:val="center"/>
          </w:tcPr>
          <w:p w14:paraId="582048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补充耕地质量验收</w:t>
            </w:r>
          </w:p>
        </w:tc>
        <w:tc>
          <w:tcPr>
            <w:tcW w:w="2790" w:type="dxa"/>
            <w:gridSpan w:val="2"/>
            <w:noWrap w:val="0"/>
            <w:vAlign w:val="center"/>
          </w:tcPr>
          <w:p w14:paraId="6711608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2025年度占用耕地质量等级核算</w:t>
            </w:r>
          </w:p>
        </w:tc>
        <w:tc>
          <w:tcPr>
            <w:tcW w:w="1005" w:type="dxa"/>
            <w:noWrap w:val="0"/>
            <w:vAlign w:val="center"/>
          </w:tcPr>
          <w:p w14:paraId="479C1D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1项</w:t>
            </w:r>
          </w:p>
        </w:tc>
        <w:tc>
          <w:tcPr>
            <w:tcW w:w="1635" w:type="dxa"/>
            <w:noWrap w:val="0"/>
            <w:vAlign w:val="center"/>
          </w:tcPr>
          <w:p w14:paraId="05169AC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51D85D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14800</w:t>
            </w:r>
          </w:p>
        </w:tc>
        <w:tc>
          <w:tcPr>
            <w:tcW w:w="1125" w:type="dxa"/>
            <w:noWrap w:val="0"/>
            <w:vAlign w:val="center"/>
          </w:tcPr>
          <w:p w14:paraId="5A5BC3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p>
        </w:tc>
        <w:tc>
          <w:tcPr>
            <w:tcW w:w="1158" w:type="dxa"/>
            <w:noWrap w:val="0"/>
            <w:vAlign w:val="center"/>
          </w:tcPr>
          <w:p w14:paraId="22AC66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257D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979" w:type="dxa"/>
            <w:vMerge w:val="continue"/>
            <w:noWrap w:val="0"/>
            <w:vAlign w:val="center"/>
          </w:tcPr>
          <w:p w14:paraId="124C17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2790" w:type="dxa"/>
            <w:gridSpan w:val="2"/>
            <w:noWrap w:val="0"/>
            <w:vAlign w:val="center"/>
          </w:tcPr>
          <w:p w14:paraId="1C3AEA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2026年度占用耕地质量等级核算</w:t>
            </w:r>
          </w:p>
        </w:tc>
        <w:tc>
          <w:tcPr>
            <w:tcW w:w="1005" w:type="dxa"/>
            <w:noWrap w:val="0"/>
            <w:vAlign w:val="center"/>
          </w:tcPr>
          <w:p w14:paraId="7A1C29B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1项</w:t>
            </w:r>
          </w:p>
        </w:tc>
        <w:tc>
          <w:tcPr>
            <w:tcW w:w="1635" w:type="dxa"/>
            <w:noWrap w:val="0"/>
            <w:vAlign w:val="center"/>
          </w:tcPr>
          <w:p w14:paraId="3CF25D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068F80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15000</w:t>
            </w:r>
          </w:p>
        </w:tc>
        <w:tc>
          <w:tcPr>
            <w:tcW w:w="1125" w:type="dxa"/>
            <w:noWrap w:val="0"/>
            <w:vAlign w:val="center"/>
          </w:tcPr>
          <w:p w14:paraId="6421EB6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p>
        </w:tc>
        <w:tc>
          <w:tcPr>
            <w:tcW w:w="1158" w:type="dxa"/>
            <w:noWrap w:val="0"/>
            <w:vAlign w:val="center"/>
          </w:tcPr>
          <w:p w14:paraId="5322C43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2B22F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79" w:type="dxa"/>
            <w:vMerge w:val="restart"/>
            <w:noWrap w:val="0"/>
            <w:vAlign w:val="center"/>
          </w:tcPr>
          <w:p w14:paraId="723C613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ascii="Times New Roman" w:hAnsi="Times New Roman" w:eastAsia="方正仿宋简体" w:cs="Times New Roman"/>
                <w:color w:val="auto"/>
                <w:sz w:val="21"/>
                <w:szCs w:val="21"/>
                <w:lang w:val="en-US" w:eastAsia="zh-CN"/>
              </w:rPr>
              <w:t>耕地安全利用</w:t>
            </w:r>
          </w:p>
        </w:tc>
        <w:tc>
          <w:tcPr>
            <w:tcW w:w="2790" w:type="dxa"/>
            <w:gridSpan w:val="2"/>
            <w:noWrap w:val="0"/>
            <w:vAlign w:val="center"/>
          </w:tcPr>
          <w:p w14:paraId="0F4E8E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优先保护类耕地Ⅰ</w:t>
            </w:r>
            <w:r>
              <w:rPr>
                <w:rFonts w:hint="eastAsia" w:eastAsia="方正仿宋简体" w:cs="Times New Roman"/>
                <w:color w:val="auto"/>
                <w:sz w:val="21"/>
                <w:szCs w:val="21"/>
                <w:vertAlign w:val="subscript"/>
                <w:lang w:val="en-US" w:eastAsia="zh-CN"/>
              </w:rPr>
              <w:t>2</w:t>
            </w:r>
            <w:r>
              <w:rPr>
                <w:rFonts w:hint="eastAsia" w:eastAsia="方正仿宋简体" w:cs="Times New Roman"/>
                <w:color w:val="auto"/>
                <w:sz w:val="21"/>
                <w:szCs w:val="21"/>
                <w:lang w:val="en-US" w:eastAsia="zh-CN"/>
              </w:rPr>
              <w:t>监测</w:t>
            </w:r>
          </w:p>
        </w:tc>
        <w:tc>
          <w:tcPr>
            <w:tcW w:w="1005" w:type="dxa"/>
            <w:noWrap w:val="0"/>
            <w:vAlign w:val="center"/>
          </w:tcPr>
          <w:p w14:paraId="7DFD45E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18个</w:t>
            </w:r>
          </w:p>
        </w:tc>
        <w:tc>
          <w:tcPr>
            <w:tcW w:w="1635" w:type="dxa"/>
            <w:noWrap w:val="0"/>
            <w:vAlign w:val="center"/>
          </w:tcPr>
          <w:p w14:paraId="483F0F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4F8E9D2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35300</w:t>
            </w:r>
          </w:p>
        </w:tc>
        <w:tc>
          <w:tcPr>
            <w:tcW w:w="1125" w:type="dxa"/>
            <w:noWrap w:val="0"/>
            <w:vAlign w:val="center"/>
          </w:tcPr>
          <w:p w14:paraId="320054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highlight w:val="yellow"/>
                <w:lang w:val="en-US" w:eastAsia="zh-CN"/>
              </w:rPr>
            </w:pPr>
          </w:p>
        </w:tc>
        <w:tc>
          <w:tcPr>
            <w:tcW w:w="1158" w:type="dxa"/>
            <w:noWrap w:val="0"/>
            <w:vAlign w:val="center"/>
          </w:tcPr>
          <w:p w14:paraId="55D8E33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p>
        </w:tc>
      </w:tr>
      <w:tr w14:paraId="5F530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979" w:type="dxa"/>
            <w:vMerge w:val="continue"/>
            <w:noWrap w:val="0"/>
            <w:vAlign w:val="center"/>
          </w:tcPr>
          <w:p w14:paraId="2248047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p>
        </w:tc>
        <w:tc>
          <w:tcPr>
            <w:tcW w:w="2790" w:type="dxa"/>
            <w:gridSpan w:val="2"/>
            <w:noWrap w:val="0"/>
            <w:vAlign w:val="center"/>
          </w:tcPr>
          <w:p w14:paraId="6614838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原安全利用区监测</w:t>
            </w:r>
          </w:p>
        </w:tc>
        <w:tc>
          <w:tcPr>
            <w:tcW w:w="1005" w:type="dxa"/>
            <w:noWrap w:val="0"/>
            <w:vAlign w:val="center"/>
          </w:tcPr>
          <w:p w14:paraId="44122A4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10个</w:t>
            </w:r>
          </w:p>
        </w:tc>
        <w:tc>
          <w:tcPr>
            <w:tcW w:w="1635" w:type="dxa"/>
            <w:noWrap w:val="0"/>
            <w:vAlign w:val="center"/>
          </w:tcPr>
          <w:p w14:paraId="696B39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2000</w:t>
            </w:r>
            <w:r>
              <w:rPr>
                <w:rFonts w:hint="default" w:ascii="Times New Roman" w:hAnsi="Times New Roman" w:eastAsia="方正仿宋简体" w:cs="Times New Roman"/>
                <w:color w:val="auto"/>
                <w:sz w:val="21"/>
                <w:szCs w:val="21"/>
                <w:lang w:val="en-US" w:eastAsia="zh-CN"/>
              </w:rPr>
              <w:t>元/个</w:t>
            </w:r>
          </w:p>
        </w:tc>
        <w:tc>
          <w:tcPr>
            <w:tcW w:w="1185" w:type="dxa"/>
            <w:noWrap w:val="0"/>
            <w:vAlign w:val="center"/>
          </w:tcPr>
          <w:p w14:paraId="7079EA8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highlight w:val="none"/>
                <w:lang w:val="en-US" w:eastAsia="zh-CN"/>
              </w:rPr>
            </w:pPr>
            <w:r>
              <w:rPr>
                <w:rFonts w:hint="eastAsia" w:eastAsia="方正仿宋简体" w:cs="Times New Roman"/>
                <w:color w:val="auto"/>
                <w:sz w:val="21"/>
                <w:szCs w:val="21"/>
                <w:highlight w:val="none"/>
                <w:lang w:val="en-US" w:eastAsia="zh-CN"/>
              </w:rPr>
              <w:t>20000</w:t>
            </w:r>
          </w:p>
        </w:tc>
        <w:tc>
          <w:tcPr>
            <w:tcW w:w="1125" w:type="dxa"/>
            <w:noWrap w:val="0"/>
            <w:vAlign w:val="center"/>
          </w:tcPr>
          <w:p w14:paraId="40E46B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highlight w:val="yellow"/>
                <w:lang w:val="en-US" w:eastAsia="zh-CN"/>
              </w:rPr>
            </w:pPr>
          </w:p>
        </w:tc>
        <w:tc>
          <w:tcPr>
            <w:tcW w:w="1158" w:type="dxa"/>
            <w:noWrap w:val="0"/>
            <w:vAlign w:val="center"/>
          </w:tcPr>
          <w:p w14:paraId="6C02A7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p>
        </w:tc>
      </w:tr>
      <w:tr w14:paraId="288B9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79" w:type="dxa"/>
            <w:vMerge w:val="restart"/>
            <w:noWrap w:val="0"/>
            <w:vAlign w:val="center"/>
          </w:tcPr>
          <w:p w14:paraId="78B67A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化肥减量增效</w:t>
            </w:r>
          </w:p>
        </w:tc>
        <w:tc>
          <w:tcPr>
            <w:tcW w:w="1065" w:type="dxa"/>
            <w:vMerge w:val="restart"/>
            <w:noWrap w:val="0"/>
            <w:vAlign w:val="center"/>
          </w:tcPr>
          <w:p w14:paraId="37CBFD6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eastAsia" w:eastAsia="方正仿宋简体" w:cs="Times New Roman"/>
                <w:color w:val="auto"/>
                <w:sz w:val="21"/>
                <w:szCs w:val="21"/>
                <w:lang w:val="en-US" w:eastAsia="zh-CN"/>
              </w:rPr>
              <w:t>化肥减量增效展示区</w:t>
            </w:r>
          </w:p>
        </w:tc>
        <w:tc>
          <w:tcPr>
            <w:tcW w:w="1725" w:type="dxa"/>
            <w:noWrap w:val="0"/>
            <w:vAlign w:val="center"/>
          </w:tcPr>
          <w:p w14:paraId="15E4048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种肥同播</w:t>
            </w:r>
          </w:p>
        </w:tc>
        <w:tc>
          <w:tcPr>
            <w:tcW w:w="1005" w:type="dxa"/>
            <w:noWrap w:val="0"/>
            <w:vAlign w:val="center"/>
          </w:tcPr>
          <w:p w14:paraId="78BD44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1160亩</w:t>
            </w:r>
          </w:p>
        </w:tc>
        <w:tc>
          <w:tcPr>
            <w:tcW w:w="1635" w:type="dxa"/>
            <w:noWrap w:val="0"/>
            <w:vAlign w:val="center"/>
          </w:tcPr>
          <w:p w14:paraId="2B97B5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20元/亩</w:t>
            </w:r>
          </w:p>
        </w:tc>
        <w:tc>
          <w:tcPr>
            <w:tcW w:w="1185" w:type="dxa"/>
            <w:noWrap w:val="0"/>
            <w:vAlign w:val="center"/>
          </w:tcPr>
          <w:p w14:paraId="1376A4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181696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23200</w:t>
            </w:r>
          </w:p>
        </w:tc>
        <w:tc>
          <w:tcPr>
            <w:tcW w:w="1158" w:type="dxa"/>
            <w:noWrap w:val="0"/>
            <w:vAlign w:val="center"/>
          </w:tcPr>
          <w:p w14:paraId="03D044E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p>
        </w:tc>
      </w:tr>
      <w:tr w14:paraId="6E063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79" w:type="dxa"/>
            <w:vMerge w:val="continue"/>
            <w:noWrap w:val="0"/>
            <w:vAlign w:val="center"/>
          </w:tcPr>
          <w:p w14:paraId="47FFED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065" w:type="dxa"/>
            <w:vMerge w:val="continue"/>
            <w:noWrap w:val="0"/>
            <w:vAlign w:val="center"/>
          </w:tcPr>
          <w:p w14:paraId="6EEE26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725" w:type="dxa"/>
            <w:noWrap w:val="0"/>
            <w:vAlign w:val="center"/>
          </w:tcPr>
          <w:p w14:paraId="03BDEE1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缓释掺混肥</w:t>
            </w:r>
          </w:p>
        </w:tc>
        <w:tc>
          <w:tcPr>
            <w:tcW w:w="1005" w:type="dxa"/>
            <w:noWrap w:val="0"/>
            <w:vAlign w:val="center"/>
          </w:tcPr>
          <w:p w14:paraId="6DA515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46.4吨</w:t>
            </w:r>
          </w:p>
        </w:tc>
        <w:tc>
          <w:tcPr>
            <w:tcW w:w="1635" w:type="dxa"/>
            <w:noWrap w:val="0"/>
            <w:vAlign w:val="center"/>
          </w:tcPr>
          <w:p w14:paraId="3A44D13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1500元/吨</w:t>
            </w:r>
          </w:p>
        </w:tc>
        <w:tc>
          <w:tcPr>
            <w:tcW w:w="1185" w:type="dxa"/>
            <w:noWrap w:val="0"/>
            <w:vAlign w:val="center"/>
          </w:tcPr>
          <w:p w14:paraId="114E9F1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7444D6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69600</w:t>
            </w:r>
          </w:p>
        </w:tc>
        <w:tc>
          <w:tcPr>
            <w:tcW w:w="1158" w:type="dxa"/>
            <w:noWrap w:val="0"/>
            <w:vAlign w:val="center"/>
          </w:tcPr>
          <w:p w14:paraId="63F6CD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67B55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979" w:type="dxa"/>
            <w:vMerge w:val="continue"/>
            <w:noWrap w:val="0"/>
            <w:vAlign w:val="center"/>
          </w:tcPr>
          <w:p w14:paraId="4ED0A36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065" w:type="dxa"/>
            <w:vMerge w:val="continue"/>
            <w:noWrap w:val="0"/>
            <w:vAlign w:val="center"/>
          </w:tcPr>
          <w:p w14:paraId="3523C0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725" w:type="dxa"/>
            <w:noWrap w:val="0"/>
            <w:vAlign w:val="center"/>
          </w:tcPr>
          <w:p w14:paraId="4973DF0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商品有机肥</w:t>
            </w:r>
          </w:p>
        </w:tc>
        <w:tc>
          <w:tcPr>
            <w:tcW w:w="1005" w:type="dxa"/>
            <w:noWrap w:val="0"/>
            <w:vAlign w:val="center"/>
          </w:tcPr>
          <w:p w14:paraId="4FA5A78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232吨</w:t>
            </w:r>
          </w:p>
        </w:tc>
        <w:tc>
          <w:tcPr>
            <w:tcW w:w="1635" w:type="dxa"/>
            <w:noWrap w:val="0"/>
            <w:vAlign w:val="center"/>
          </w:tcPr>
          <w:p w14:paraId="2673707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400元/吨</w:t>
            </w:r>
          </w:p>
        </w:tc>
        <w:tc>
          <w:tcPr>
            <w:tcW w:w="1185" w:type="dxa"/>
            <w:noWrap w:val="0"/>
            <w:vAlign w:val="center"/>
          </w:tcPr>
          <w:p w14:paraId="38573F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4A2C98A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92800</w:t>
            </w:r>
          </w:p>
        </w:tc>
        <w:tc>
          <w:tcPr>
            <w:tcW w:w="1158" w:type="dxa"/>
            <w:noWrap w:val="0"/>
            <w:vAlign w:val="center"/>
          </w:tcPr>
          <w:p w14:paraId="4DC284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354D6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79" w:type="dxa"/>
            <w:vMerge w:val="continue"/>
            <w:noWrap w:val="0"/>
            <w:vAlign w:val="center"/>
          </w:tcPr>
          <w:p w14:paraId="220A7AA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065" w:type="dxa"/>
            <w:vMerge w:val="continue"/>
            <w:noWrap w:val="0"/>
            <w:vAlign w:val="center"/>
          </w:tcPr>
          <w:p w14:paraId="4685109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725" w:type="dxa"/>
            <w:noWrap w:val="0"/>
            <w:vAlign w:val="center"/>
          </w:tcPr>
          <w:p w14:paraId="279D1B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配方肥</w:t>
            </w:r>
          </w:p>
        </w:tc>
        <w:tc>
          <w:tcPr>
            <w:tcW w:w="1005" w:type="dxa"/>
            <w:noWrap w:val="0"/>
            <w:vAlign w:val="center"/>
          </w:tcPr>
          <w:p w14:paraId="72B356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17.4吨</w:t>
            </w:r>
          </w:p>
        </w:tc>
        <w:tc>
          <w:tcPr>
            <w:tcW w:w="1635" w:type="dxa"/>
            <w:noWrap w:val="0"/>
            <w:vAlign w:val="center"/>
          </w:tcPr>
          <w:p w14:paraId="5F705B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800元/吨</w:t>
            </w:r>
          </w:p>
        </w:tc>
        <w:tc>
          <w:tcPr>
            <w:tcW w:w="1185" w:type="dxa"/>
            <w:noWrap w:val="0"/>
            <w:vAlign w:val="center"/>
          </w:tcPr>
          <w:p w14:paraId="064DEED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44E188F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13920</w:t>
            </w:r>
          </w:p>
        </w:tc>
        <w:tc>
          <w:tcPr>
            <w:tcW w:w="1158" w:type="dxa"/>
            <w:noWrap w:val="0"/>
            <w:vAlign w:val="center"/>
          </w:tcPr>
          <w:p w14:paraId="772B93D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r>
      <w:tr w14:paraId="65854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79" w:type="dxa"/>
            <w:vMerge w:val="continue"/>
            <w:noWrap w:val="0"/>
            <w:vAlign w:val="center"/>
          </w:tcPr>
          <w:p w14:paraId="2EC225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p>
        </w:tc>
        <w:tc>
          <w:tcPr>
            <w:tcW w:w="2790" w:type="dxa"/>
            <w:gridSpan w:val="2"/>
            <w:noWrap w:val="0"/>
            <w:vAlign w:val="center"/>
          </w:tcPr>
          <w:p w14:paraId="41DAE02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r>
              <w:rPr>
                <w:rFonts w:hint="eastAsia" w:eastAsia="方正仿宋简体" w:cs="Times New Roman"/>
                <w:color w:val="auto"/>
                <w:sz w:val="21"/>
                <w:szCs w:val="21"/>
                <w:lang w:val="en-US" w:eastAsia="zh-CN"/>
              </w:rPr>
              <w:t>农户施肥调查</w:t>
            </w:r>
          </w:p>
        </w:tc>
        <w:tc>
          <w:tcPr>
            <w:tcW w:w="1005" w:type="dxa"/>
            <w:noWrap w:val="0"/>
            <w:vAlign w:val="center"/>
          </w:tcPr>
          <w:p w14:paraId="5F074BA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160户</w:t>
            </w:r>
          </w:p>
        </w:tc>
        <w:tc>
          <w:tcPr>
            <w:tcW w:w="1635" w:type="dxa"/>
            <w:noWrap w:val="0"/>
            <w:vAlign w:val="center"/>
          </w:tcPr>
          <w:p w14:paraId="3A119F0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58F32D6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sz w:val="21"/>
                <w:szCs w:val="21"/>
                <w:lang w:val="en-US" w:eastAsia="zh-CN"/>
              </w:rPr>
            </w:pPr>
          </w:p>
        </w:tc>
        <w:tc>
          <w:tcPr>
            <w:tcW w:w="1125" w:type="dxa"/>
            <w:noWrap w:val="0"/>
            <w:vAlign w:val="center"/>
          </w:tcPr>
          <w:p w14:paraId="0AE9B2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58" w:type="dxa"/>
            <w:noWrap w:val="0"/>
            <w:vAlign w:val="center"/>
          </w:tcPr>
          <w:p w14:paraId="48AD74C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r>
              <w:rPr>
                <w:rFonts w:hint="eastAsia" w:eastAsia="方正仿宋简体" w:cs="Times New Roman"/>
                <w:color w:val="auto"/>
                <w:kern w:val="2"/>
                <w:sz w:val="21"/>
                <w:szCs w:val="21"/>
                <w:lang w:val="en-US" w:eastAsia="zh-CN" w:bidi="ar-SA"/>
              </w:rPr>
              <w:t>45100</w:t>
            </w:r>
          </w:p>
        </w:tc>
      </w:tr>
      <w:tr w14:paraId="2DAD6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79" w:type="dxa"/>
            <w:vMerge w:val="continue"/>
            <w:noWrap w:val="0"/>
            <w:vAlign w:val="center"/>
          </w:tcPr>
          <w:p w14:paraId="0826117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eastAsia="zh-CN"/>
              </w:rPr>
            </w:pPr>
          </w:p>
        </w:tc>
        <w:tc>
          <w:tcPr>
            <w:tcW w:w="2790" w:type="dxa"/>
            <w:gridSpan w:val="2"/>
            <w:noWrap w:val="0"/>
            <w:vAlign w:val="center"/>
          </w:tcPr>
          <w:p w14:paraId="47C0DE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b w:val="0"/>
                <w:color w:val="auto"/>
                <w:kern w:val="2"/>
                <w:sz w:val="21"/>
                <w:szCs w:val="21"/>
                <w:lang w:val="en-US" w:eastAsia="zh-CN" w:bidi="ar-SA"/>
              </w:rPr>
            </w:pPr>
            <w:r>
              <w:rPr>
                <w:rFonts w:hint="eastAsia" w:eastAsia="方正仿宋简体" w:cs="Times New Roman"/>
                <w:color w:val="auto"/>
                <w:sz w:val="21"/>
                <w:szCs w:val="21"/>
                <w:lang w:val="en-US" w:eastAsia="zh-CN"/>
              </w:rPr>
              <w:t>田间试验</w:t>
            </w:r>
          </w:p>
        </w:tc>
        <w:tc>
          <w:tcPr>
            <w:tcW w:w="1005" w:type="dxa"/>
            <w:shd w:val="clear" w:color="auto" w:fill="auto"/>
            <w:noWrap w:val="0"/>
            <w:vAlign w:val="center"/>
          </w:tcPr>
          <w:p w14:paraId="708DF4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r>
              <w:rPr>
                <w:rFonts w:hint="eastAsia" w:eastAsia="方正仿宋简体" w:cs="Times New Roman"/>
                <w:color w:val="auto"/>
                <w:sz w:val="21"/>
                <w:szCs w:val="21"/>
                <w:lang w:val="en-US" w:eastAsia="zh-CN"/>
              </w:rPr>
              <w:t>4个</w:t>
            </w:r>
          </w:p>
        </w:tc>
        <w:tc>
          <w:tcPr>
            <w:tcW w:w="1635" w:type="dxa"/>
            <w:shd w:val="clear" w:color="auto" w:fill="auto"/>
            <w:noWrap w:val="0"/>
            <w:vAlign w:val="center"/>
          </w:tcPr>
          <w:p w14:paraId="26DD67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r>
              <w:rPr>
                <w:rFonts w:hint="eastAsia" w:eastAsia="方正仿宋简体" w:cs="Times New Roman"/>
                <w:color w:val="auto"/>
                <w:kern w:val="2"/>
                <w:sz w:val="21"/>
                <w:szCs w:val="21"/>
                <w:lang w:val="en-US" w:eastAsia="zh-CN" w:bidi="ar-SA"/>
              </w:rPr>
              <w:t>20500元/个</w:t>
            </w:r>
          </w:p>
        </w:tc>
        <w:tc>
          <w:tcPr>
            <w:tcW w:w="1185" w:type="dxa"/>
            <w:shd w:val="clear" w:color="auto" w:fill="auto"/>
            <w:noWrap w:val="0"/>
            <w:vAlign w:val="center"/>
          </w:tcPr>
          <w:p w14:paraId="6964DB1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eastAsia="方正仿宋简体" w:cs="Times New Roman"/>
                <w:color w:val="auto"/>
                <w:kern w:val="2"/>
                <w:sz w:val="21"/>
                <w:szCs w:val="21"/>
                <w:lang w:val="en-US" w:eastAsia="zh-CN" w:bidi="ar-SA"/>
              </w:rPr>
            </w:pPr>
          </w:p>
        </w:tc>
        <w:tc>
          <w:tcPr>
            <w:tcW w:w="1125" w:type="dxa"/>
            <w:shd w:val="clear" w:color="auto" w:fill="auto"/>
            <w:noWrap w:val="0"/>
            <w:vAlign w:val="center"/>
          </w:tcPr>
          <w:p w14:paraId="5CDA7E4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r>
              <w:rPr>
                <w:rFonts w:hint="eastAsia" w:eastAsia="方正仿宋简体" w:cs="Times New Roman"/>
                <w:color w:val="auto"/>
                <w:kern w:val="2"/>
                <w:sz w:val="21"/>
                <w:szCs w:val="21"/>
                <w:lang w:val="en-US" w:eastAsia="zh-CN" w:bidi="ar-SA"/>
              </w:rPr>
              <w:t>-</w:t>
            </w:r>
          </w:p>
        </w:tc>
        <w:tc>
          <w:tcPr>
            <w:tcW w:w="1158" w:type="dxa"/>
            <w:shd w:val="clear" w:color="auto" w:fill="auto"/>
            <w:noWrap w:val="0"/>
            <w:vAlign w:val="center"/>
          </w:tcPr>
          <w:p w14:paraId="777FC4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r>
              <w:rPr>
                <w:rFonts w:hint="eastAsia" w:eastAsia="方正仿宋简体" w:cs="Times New Roman"/>
                <w:color w:val="auto"/>
                <w:kern w:val="2"/>
                <w:sz w:val="21"/>
                <w:szCs w:val="21"/>
                <w:lang w:val="en-US" w:eastAsia="zh-CN" w:bidi="ar-SA"/>
              </w:rPr>
              <w:t>82000</w:t>
            </w:r>
          </w:p>
        </w:tc>
      </w:tr>
      <w:tr w14:paraId="70731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79" w:type="dxa"/>
            <w:vMerge w:val="restart"/>
            <w:noWrap w:val="0"/>
            <w:vAlign w:val="center"/>
          </w:tcPr>
          <w:p w14:paraId="3B0A165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项目</w:t>
            </w:r>
            <w:r>
              <w:rPr>
                <w:rFonts w:hint="default" w:ascii="Times New Roman" w:hAnsi="Times New Roman" w:eastAsia="方正仿宋简体" w:cs="Times New Roman"/>
                <w:color w:val="auto"/>
                <w:sz w:val="21"/>
                <w:szCs w:val="21"/>
                <w:lang w:val="en-US" w:eastAsia="zh-CN"/>
              </w:rPr>
              <w:t>管理</w:t>
            </w:r>
          </w:p>
        </w:tc>
        <w:tc>
          <w:tcPr>
            <w:tcW w:w="2790" w:type="dxa"/>
            <w:gridSpan w:val="2"/>
            <w:noWrap w:val="0"/>
            <w:vAlign w:val="center"/>
          </w:tcPr>
          <w:p w14:paraId="1E49EC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展示区专家技术指导</w:t>
            </w:r>
          </w:p>
        </w:tc>
        <w:tc>
          <w:tcPr>
            <w:tcW w:w="1005" w:type="dxa"/>
            <w:noWrap w:val="0"/>
            <w:vAlign w:val="center"/>
          </w:tcPr>
          <w:p w14:paraId="7F26779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3次</w:t>
            </w:r>
          </w:p>
        </w:tc>
        <w:tc>
          <w:tcPr>
            <w:tcW w:w="1635" w:type="dxa"/>
            <w:noWrap w:val="0"/>
            <w:vAlign w:val="center"/>
          </w:tcPr>
          <w:p w14:paraId="176979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1000元/次</w:t>
            </w:r>
          </w:p>
        </w:tc>
        <w:tc>
          <w:tcPr>
            <w:tcW w:w="1185" w:type="dxa"/>
            <w:noWrap w:val="0"/>
            <w:vAlign w:val="center"/>
          </w:tcPr>
          <w:p w14:paraId="3392F6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p>
        </w:tc>
        <w:tc>
          <w:tcPr>
            <w:tcW w:w="1125" w:type="dxa"/>
            <w:noWrap w:val="0"/>
            <w:vAlign w:val="center"/>
          </w:tcPr>
          <w:p w14:paraId="06FD9FC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3000</w:t>
            </w:r>
          </w:p>
        </w:tc>
        <w:tc>
          <w:tcPr>
            <w:tcW w:w="1158" w:type="dxa"/>
            <w:noWrap w:val="0"/>
            <w:vAlign w:val="center"/>
          </w:tcPr>
          <w:p w14:paraId="4AE8D31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sz w:val="21"/>
                <w:szCs w:val="21"/>
                <w:lang w:val="en-US" w:eastAsia="zh-CN"/>
              </w:rPr>
            </w:pPr>
          </w:p>
        </w:tc>
      </w:tr>
      <w:tr w14:paraId="04E08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79" w:type="dxa"/>
            <w:vMerge w:val="continue"/>
            <w:noWrap w:val="0"/>
            <w:vAlign w:val="center"/>
          </w:tcPr>
          <w:p w14:paraId="1E323AD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p>
        </w:tc>
        <w:tc>
          <w:tcPr>
            <w:tcW w:w="2790" w:type="dxa"/>
            <w:gridSpan w:val="2"/>
            <w:noWrap w:val="0"/>
            <w:vAlign w:val="center"/>
          </w:tcPr>
          <w:p w14:paraId="7222121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核查与</w:t>
            </w:r>
            <w:r>
              <w:rPr>
                <w:rFonts w:hint="default" w:ascii="Times New Roman" w:hAnsi="Times New Roman" w:eastAsia="方正仿宋简体" w:cs="Times New Roman"/>
                <w:color w:val="auto"/>
                <w:sz w:val="21"/>
                <w:szCs w:val="21"/>
                <w:lang w:val="en-US" w:eastAsia="zh-CN"/>
              </w:rPr>
              <w:t>资金审计</w:t>
            </w:r>
          </w:p>
        </w:tc>
        <w:tc>
          <w:tcPr>
            <w:tcW w:w="1005" w:type="dxa"/>
            <w:noWrap w:val="0"/>
            <w:vAlign w:val="center"/>
          </w:tcPr>
          <w:p w14:paraId="6B5ADBB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635" w:type="dxa"/>
            <w:noWrap w:val="0"/>
            <w:vAlign w:val="center"/>
          </w:tcPr>
          <w:p w14:paraId="762CD4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38979E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p>
        </w:tc>
        <w:tc>
          <w:tcPr>
            <w:tcW w:w="1125" w:type="dxa"/>
            <w:noWrap w:val="0"/>
            <w:vAlign w:val="center"/>
          </w:tcPr>
          <w:p w14:paraId="6E9FD7E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7500</w:t>
            </w:r>
          </w:p>
        </w:tc>
        <w:tc>
          <w:tcPr>
            <w:tcW w:w="1158" w:type="dxa"/>
            <w:noWrap w:val="0"/>
            <w:vAlign w:val="center"/>
          </w:tcPr>
          <w:p w14:paraId="10CFE5F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cs="Times New Roman"/>
                <w:sz w:val="21"/>
                <w:szCs w:val="21"/>
                <w:lang w:val="en-US" w:eastAsia="zh-CN"/>
              </w:rPr>
            </w:pPr>
            <w:r>
              <w:rPr>
                <w:rFonts w:hint="eastAsia" w:cs="Times New Roman"/>
                <w:sz w:val="21"/>
                <w:szCs w:val="21"/>
                <w:lang w:val="en-US" w:eastAsia="zh-CN"/>
              </w:rPr>
              <w:t>900</w:t>
            </w:r>
          </w:p>
        </w:tc>
      </w:tr>
      <w:tr w14:paraId="0B43A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979" w:type="dxa"/>
            <w:vMerge w:val="continue"/>
            <w:noWrap w:val="0"/>
            <w:vAlign w:val="center"/>
          </w:tcPr>
          <w:p w14:paraId="754C640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rPr>
            </w:pPr>
          </w:p>
        </w:tc>
        <w:tc>
          <w:tcPr>
            <w:tcW w:w="2790" w:type="dxa"/>
            <w:gridSpan w:val="2"/>
            <w:noWrap w:val="0"/>
            <w:vAlign w:val="center"/>
          </w:tcPr>
          <w:p w14:paraId="50F4187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default" w:ascii="Times New Roman" w:hAnsi="Times New Roman" w:eastAsia="方正仿宋简体" w:cs="Times New Roman"/>
                <w:color w:val="auto"/>
                <w:sz w:val="21"/>
                <w:szCs w:val="21"/>
                <w:lang w:val="en-US" w:eastAsia="zh-CN"/>
              </w:rPr>
              <w:t>项目验收</w:t>
            </w:r>
          </w:p>
        </w:tc>
        <w:tc>
          <w:tcPr>
            <w:tcW w:w="1005" w:type="dxa"/>
            <w:noWrap w:val="0"/>
            <w:vAlign w:val="center"/>
          </w:tcPr>
          <w:p w14:paraId="5DC2716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简体" w:cs="Times New Roman"/>
                <w:color w:val="auto"/>
                <w:sz w:val="21"/>
                <w:szCs w:val="21"/>
                <w:lang w:val="en-US" w:eastAsia="zh-CN"/>
              </w:rPr>
            </w:pPr>
            <w:r>
              <w:rPr>
                <w:rFonts w:hint="default" w:ascii="Times New Roman" w:hAnsi="Times New Roman" w:eastAsia="方正仿宋简体" w:cs="Times New Roman"/>
                <w:color w:val="auto"/>
                <w:sz w:val="21"/>
                <w:szCs w:val="21"/>
                <w:lang w:val="en-US"/>
              </w:rPr>
              <w:t>5</w:t>
            </w:r>
            <w:r>
              <w:rPr>
                <w:rFonts w:hint="eastAsia" w:eastAsia="方正仿宋简体" w:cs="Times New Roman"/>
                <w:color w:val="auto"/>
                <w:sz w:val="21"/>
                <w:szCs w:val="21"/>
                <w:lang w:val="en-US" w:eastAsia="zh-CN"/>
              </w:rPr>
              <w:t>人</w:t>
            </w:r>
          </w:p>
        </w:tc>
        <w:tc>
          <w:tcPr>
            <w:tcW w:w="1635" w:type="dxa"/>
            <w:noWrap w:val="0"/>
            <w:vAlign w:val="center"/>
          </w:tcPr>
          <w:p w14:paraId="5311CEF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w:t>
            </w:r>
          </w:p>
        </w:tc>
        <w:tc>
          <w:tcPr>
            <w:tcW w:w="1185" w:type="dxa"/>
            <w:noWrap w:val="0"/>
            <w:vAlign w:val="center"/>
          </w:tcPr>
          <w:p w14:paraId="03EECA4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p>
        </w:tc>
        <w:tc>
          <w:tcPr>
            <w:tcW w:w="1125" w:type="dxa"/>
            <w:noWrap w:val="0"/>
            <w:vAlign w:val="center"/>
          </w:tcPr>
          <w:p w14:paraId="0E8976F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5180</w:t>
            </w:r>
          </w:p>
        </w:tc>
        <w:tc>
          <w:tcPr>
            <w:tcW w:w="1158" w:type="dxa"/>
            <w:noWrap w:val="0"/>
            <w:vAlign w:val="center"/>
          </w:tcPr>
          <w:p w14:paraId="4BC4BE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1"/>
                <w:szCs w:val="21"/>
                <w:lang w:val="en-US" w:eastAsia="zh-CN" w:bidi="ar-SA"/>
              </w:rPr>
            </w:pPr>
          </w:p>
        </w:tc>
      </w:tr>
      <w:tr w14:paraId="6CD16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exact"/>
          <w:jc w:val="center"/>
        </w:trPr>
        <w:tc>
          <w:tcPr>
            <w:tcW w:w="6409" w:type="dxa"/>
            <w:gridSpan w:val="5"/>
            <w:noWrap w:val="0"/>
            <w:vAlign w:val="center"/>
          </w:tcPr>
          <w:p w14:paraId="35AB46E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default" w:ascii="Times New Roman" w:hAnsi="Times New Roman" w:eastAsia="方正仿宋简体" w:cs="Times New Roman"/>
                <w:color w:val="auto"/>
                <w:sz w:val="21"/>
                <w:szCs w:val="21"/>
              </w:rPr>
              <w:t>合计</w:t>
            </w:r>
          </w:p>
        </w:tc>
        <w:tc>
          <w:tcPr>
            <w:tcW w:w="1185" w:type="dxa"/>
            <w:noWrap w:val="0"/>
            <w:vAlign w:val="center"/>
          </w:tcPr>
          <w:p w14:paraId="7742407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85100</w:t>
            </w:r>
          </w:p>
        </w:tc>
        <w:tc>
          <w:tcPr>
            <w:tcW w:w="1125" w:type="dxa"/>
            <w:noWrap w:val="0"/>
            <w:vAlign w:val="center"/>
          </w:tcPr>
          <w:p w14:paraId="5D8E203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630000</w:t>
            </w:r>
          </w:p>
        </w:tc>
        <w:tc>
          <w:tcPr>
            <w:tcW w:w="1158" w:type="dxa"/>
            <w:noWrap w:val="0"/>
            <w:vAlign w:val="center"/>
          </w:tcPr>
          <w:p w14:paraId="72E25E2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1"/>
                <w:szCs w:val="21"/>
                <w:lang w:val="en-US" w:eastAsia="zh-CN"/>
              </w:rPr>
            </w:pPr>
            <w:r>
              <w:rPr>
                <w:rFonts w:hint="eastAsia" w:eastAsia="方正仿宋简体" w:cs="Times New Roman"/>
                <w:color w:val="auto"/>
                <w:sz w:val="21"/>
                <w:szCs w:val="21"/>
                <w:lang w:val="en-US" w:eastAsia="zh-CN"/>
              </w:rPr>
              <w:t>128000</w:t>
            </w:r>
          </w:p>
        </w:tc>
      </w:tr>
    </w:tbl>
    <w:p w14:paraId="7D6FEB28">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简体" w:cs="Times New Roman"/>
          <w:color w:val="auto"/>
          <w:lang w:eastAsia="zh-CN"/>
        </w:rPr>
      </w:pPr>
      <w:r>
        <w:rPr>
          <w:rFonts w:hint="eastAsia" w:eastAsia="方正黑体简体" w:cs="Times New Roman"/>
          <w:color w:val="auto"/>
          <w:lang w:val="en-US" w:eastAsia="zh-CN"/>
        </w:rPr>
        <w:t>四</w:t>
      </w:r>
      <w:r>
        <w:rPr>
          <w:rFonts w:hint="default" w:ascii="Times New Roman" w:hAnsi="Times New Roman" w:eastAsia="方正黑体简体" w:cs="Times New Roman"/>
          <w:color w:val="auto"/>
          <w:lang w:eastAsia="zh-CN"/>
        </w:rPr>
        <w:t>、实施进度</w:t>
      </w:r>
    </w:p>
    <w:p w14:paraId="517A18DA">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color w:val="auto"/>
          <w:lang w:val="en-US" w:eastAsia="zh-CN"/>
        </w:rPr>
        <w:t>本项目实施时间自202</w:t>
      </w:r>
      <w:r>
        <w:rPr>
          <w:rFonts w:hint="eastAsia" w:eastAsia="方正仿宋简体" w:cs="Times New Roman"/>
          <w:color w:val="auto"/>
          <w:lang w:val="en-US" w:eastAsia="zh-CN"/>
        </w:rPr>
        <w:t>6</w:t>
      </w:r>
      <w:r>
        <w:rPr>
          <w:rFonts w:hint="default" w:ascii="Times New Roman" w:hAnsi="Times New Roman" w:eastAsia="方正仿宋简体" w:cs="Times New Roman"/>
          <w:color w:val="auto"/>
          <w:lang w:val="en-US" w:eastAsia="zh-CN"/>
        </w:rPr>
        <w:t>年</w:t>
      </w:r>
      <w:r>
        <w:rPr>
          <w:rFonts w:hint="eastAsia" w:eastAsia="方正仿宋简体" w:cs="Times New Roman"/>
          <w:color w:val="auto"/>
          <w:lang w:val="en-US" w:eastAsia="zh-CN"/>
        </w:rPr>
        <w:t>7</w:t>
      </w:r>
      <w:r>
        <w:rPr>
          <w:rFonts w:hint="default" w:ascii="Times New Roman" w:hAnsi="Times New Roman" w:eastAsia="方正仿宋简体" w:cs="Times New Roman"/>
          <w:color w:val="auto"/>
          <w:lang w:val="en-US" w:eastAsia="zh-CN"/>
        </w:rPr>
        <w:t>月起至202</w:t>
      </w:r>
      <w:r>
        <w:rPr>
          <w:rFonts w:hint="eastAsia" w:eastAsia="方正仿宋简体" w:cs="Times New Roman"/>
          <w:color w:val="auto"/>
          <w:lang w:val="en-US" w:eastAsia="zh-CN"/>
        </w:rPr>
        <w:t>7</w:t>
      </w:r>
      <w:r>
        <w:rPr>
          <w:rFonts w:hint="default" w:ascii="Times New Roman" w:hAnsi="Times New Roman" w:eastAsia="方正仿宋简体" w:cs="Times New Roman"/>
          <w:color w:val="auto"/>
          <w:lang w:val="en-US" w:eastAsia="zh-CN"/>
        </w:rPr>
        <w:t>年12月止，实施进度安排如下：</w:t>
      </w:r>
    </w:p>
    <w:p w14:paraId="1BD5D8B8">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color w:val="auto"/>
          <w:lang w:val="en-US" w:eastAsia="zh-CN"/>
        </w:rPr>
        <w:t>202</w:t>
      </w:r>
      <w:r>
        <w:rPr>
          <w:rFonts w:hint="eastAsia" w:eastAsia="方正仿宋简体" w:cs="Times New Roman"/>
          <w:color w:val="auto"/>
          <w:lang w:val="en-US" w:eastAsia="zh-CN"/>
        </w:rPr>
        <w:t>6</w:t>
      </w:r>
      <w:r>
        <w:rPr>
          <w:rFonts w:hint="default" w:ascii="Times New Roman" w:hAnsi="Times New Roman" w:eastAsia="方正仿宋简体" w:cs="Times New Roman"/>
          <w:color w:val="auto"/>
          <w:lang w:val="en-US" w:eastAsia="zh-CN"/>
        </w:rPr>
        <w:t>年</w:t>
      </w:r>
      <w:r>
        <w:rPr>
          <w:rFonts w:hint="eastAsia" w:eastAsia="方正仿宋简体" w:cs="Times New Roman"/>
          <w:color w:val="auto"/>
          <w:lang w:val="en-US" w:eastAsia="zh-CN"/>
        </w:rPr>
        <w:t>7月—8月</w:t>
      </w:r>
      <w:r>
        <w:rPr>
          <w:rFonts w:hint="default" w:ascii="Times New Roman" w:hAnsi="Times New Roman" w:eastAsia="方正仿宋简体" w:cs="Times New Roman"/>
          <w:color w:val="auto"/>
          <w:lang w:val="en-US" w:eastAsia="zh-CN"/>
        </w:rPr>
        <w:t>：</w:t>
      </w:r>
      <w:r>
        <w:rPr>
          <w:rFonts w:hint="eastAsia" w:eastAsia="方正仿宋简体" w:cs="Times New Roman"/>
          <w:color w:val="auto"/>
          <w:lang w:val="en-US" w:eastAsia="zh-CN"/>
        </w:rPr>
        <w:t>遴选主体，</w:t>
      </w:r>
      <w:r>
        <w:rPr>
          <w:rFonts w:hint="default" w:ascii="Times New Roman" w:hAnsi="Times New Roman" w:eastAsia="方正仿宋简体" w:cs="Times New Roman"/>
          <w:color w:val="auto"/>
          <w:lang w:val="en-US" w:eastAsia="zh-CN"/>
        </w:rPr>
        <w:t>制定并批复项目实施方案。</w:t>
      </w:r>
    </w:p>
    <w:p w14:paraId="10D3D9D3">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color w:val="auto"/>
          <w:lang w:val="en-US" w:eastAsia="zh-CN"/>
        </w:rPr>
        <w:t>202</w:t>
      </w:r>
      <w:r>
        <w:rPr>
          <w:rFonts w:hint="eastAsia" w:eastAsia="方正仿宋简体" w:cs="Times New Roman"/>
          <w:color w:val="auto"/>
          <w:lang w:val="en-US" w:eastAsia="zh-CN"/>
        </w:rPr>
        <w:t>6</w:t>
      </w:r>
      <w:r>
        <w:rPr>
          <w:rFonts w:hint="default" w:ascii="Times New Roman" w:hAnsi="Times New Roman" w:eastAsia="方正仿宋简体" w:cs="Times New Roman"/>
          <w:color w:val="auto"/>
          <w:lang w:val="en-US" w:eastAsia="zh-CN"/>
        </w:rPr>
        <w:t>年</w:t>
      </w:r>
      <w:r>
        <w:rPr>
          <w:rFonts w:hint="eastAsia" w:eastAsia="方正仿宋简体" w:cs="Times New Roman"/>
          <w:color w:val="auto"/>
          <w:lang w:val="en-US" w:eastAsia="zh-CN"/>
        </w:rPr>
        <w:t>9</w:t>
      </w:r>
      <w:r>
        <w:rPr>
          <w:rFonts w:hint="default" w:ascii="Times New Roman" w:hAnsi="Times New Roman" w:eastAsia="方正仿宋简体" w:cs="Times New Roman"/>
          <w:color w:val="auto"/>
          <w:lang w:val="en-US" w:eastAsia="zh-CN"/>
        </w:rPr>
        <w:t>月</w:t>
      </w:r>
      <w:r>
        <w:rPr>
          <w:rFonts w:hint="eastAsia" w:eastAsia="方正仿宋简体" w:cs="Times New Roman"/>
          <w:color w:val="auto"/>
          <w:lang w:val="en-US" w:eastAsia="zh-CN"/>
        </w:rPr>
        <w:t>—</w:t>
      </w:r>
      <w:r>
        <w:rPr>
          <w:rFonts w:hint="default" w:ascii="Times New Roman" w:hAnsi="Times New Roman" w:eastAsia="方正仿宋简体" w:cs="Times New Roman"/>
          <w:color w:val="auto"/>
          <w:lang w:val="en-US" w:eastAsia="zh-CN"/>
        </w:rPr>
        <w:t>12月：监测点基础设施维护；</w:t>
      </w:r>
      <w:r>
        <w:rPr>
          <w:rFonts w:hint="eastAsia" w:eastAsia="方正仿宋简体" w:cs="Times New Roman"/>
          <w:color w:val="auto"/>
          <w:lang w:val="en-US" w:eastAsia="zh-CN"/>
        </w:rPr>
        <w:t>各类监测点调查采样检测</w:t>
      </w:r>
      <w:r>
        <w:rPr>
          <w:rFonts w:hint="default" w:ascii="Times New Roman" w:hAnsi="Times New Roman" w:eastAsia="方正仿宋简体" w:cs="Times New Roman"/>
          <w:color w:val="auto"/>
          <w:lang w:val="en-US" w:eastAsia="zh-CN"/>
        </w:rPr>
        <w:t>；农作物肥料使用强度调查</w:t>
      </w:r>
      <w:r>
        <w:rPr>
          <w:rFonts w:hint="eastAsia" w:eastAsia="方正仿宋简体" w:cs="Times New Roman"/>
          <w:color w:val="auto"/>
          <w:lang w:val="en-US" w:eastAsia="zh-CN"/>
        </w:rPr>
        <w:t>；化肥减量展示区应用种肥同播、缓释掺混肥、商品有机肥。</w:t>
      </w:r>
    </w:p>
    <w:p w14:paraId="14A90C25">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color w:val="auto"/>
          <w:lang w:val="en-US" w:eastAsia="zh-CN"/>
        </w:rPr>
        <w:t>20</w:t>
      </w:r>
      <w:r>
        <w:rPr>
          <w:rFonts w:hint="eastAsia" w:eastAsia="方正仿宋简体" w:cs="Times New Roman"/>
          <w:color w:val="auto"/>
          <w:lang w:val="en-US" w:eastAsia="zh-CN"/>
        </w:rPr>
        <w:t>27</w:t>
      </w:r>
      <w:r>
        <w:rPr>
          <w:rFonts w:hint="default" w:ascii="Times New Roman" w:hAnsi="Times New Roman" w:eastAsia="方正仿宋简体" w:cs="Times New Roman"/>
          <w:color w:val="auto"/>
          <w:lang w:val="en-US" w:eastAsia="zh-CN"/>
        </w:rPr>
        <w:t>年1</w:t>
      </w:r>
      <w:r>
        <w:rPr>
          <w:rFonts w:hint="eastAsia" w:eastAsia="方正仿宋简体" w:cs="Times New Roman"/>
          <w:color w:val="auto"/>
          <w:lang w:val="en-US" w:eastAsia="zh-CN"/>
        </w:rPr>
        <w:t>—</w:t>
      </w:r>
      <w:r>
        <w:rPr>
          <w:rFonts w:hint="default" w:ascii="Times New Roman" w:hAnsi="Times New Roman" w:eastAsia="方正仿宋简体" w:cs="Times New Roman"/>
          <w:color w:val="auto"/>
          <w:lang w:val="en-US" w:eastAsia="zh-CN"/>
        </w:rPr>
        <w:t>11月：</w:t>
      </w:r>
      <w:r>
        <w:rPr>
          <w:rFonts w:hint="eastAsia" w:eastAsia="方正仿宋简体" w:cs="Times New Roman"/>
          <w:color w:val="auto"/>
          <w:lang w:val="en-US" w:eastAsia="zh-CN"/>
        </w:rPr>
        <w:t>化肥减量展示区应用配方肥；</w:t>
      </w:r>
      <w:r>
        <w:rPr>
          <w:rFonts w:hint="default" w:ascii="Times New Roman" w:hAnsi="Times New Roman" w:eastAsia="方正仿宋简体" w:cs="Times New Roman"/>
          <w:color w:val="auto"/>
          <w:lang w:val="en-US" w:eastAsia="zh-CN"/>
        </w:rPr>
        <w:t>维修维护土壤墒情监测设备，发布墒情简报；耕地质量等级评价。</w:t>
      </w:r>
    </w:p>
    <w:p w14:paraId="1A324E1F">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color w:val="auto"/>
          <w:lang w:val="en-US" w:eastAsia="zh-CN"/>
        </w:rPr>
      </w:pPr>
      <w:r>
        <w:rPr>
          <w:rFonts w:hint="default" w:ascii="Times New Roman" w:hAnsi="Times New Roman" w:eastAsia="方正仿宋简体" w:cs="Times New Roman"/>
          <w:color w:val="auto"/>
          <w:lang w:val="en-US" w:eastAsia="zh-CN"/>
        </w:rPr>
        <w:t>202</w:t>
      </w:r>
      <w:r>
        <w:rPr>
          <w:rFonts w:hint="eastAsia" w:eastAsia="方正仿宋简体" w:cs="Times New Roman"/>
          <w:color w:val="auto"/>
          <w:lang w:val="en-US" w:eastAsia="zh-CN"/>
        </w:rPr>
        <w:t>7</w:t>
      </w:r>
      <w:r>
        <w:rPr>
          <w:rFonts w:hint="default" w:ascii="Times New Roman" w:hAnsi="Times New Roman" w:eastAsia="方正仿宋简体" w:cs="Times New Roman"/>
          <w:color w:val="auto"/>
          <w:lang w:val="en-US" w:eastAsia="zh-CN"/>
        </w:rPr>
        <w:t>年12月：资金使用审计，整理项目实施档案资料，完成工作总结，组织项目验收。</w:t>
      </w:r>
    </w:p>
    <w:p w14:paraId="756472D9">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黑体简体" w:cs="Times New Roman"/>
          <w:color w:val="auto"/>
          <w:lang w:eastAsia="zh-CN"/>
        </w:rPr>
      </w:pPr>
      <w:r>
        <w:rPr>
          <w:rFonts w:hint="eastAsia" w:eastAsia="方正黑体简体" w:cs="Times New Roman"/>
          <w:color w:val="auto"/>
          <w:lang w:val="en-US" w:eastAsia="zh-CN"/>
        </w:rPr>
        <w:t>五</w:t>
      </w:r>
      <w:r>
        <w:rPr>
          <w:rFonts w:hint="default" w:ascii="Times New Roman" w:hAnsi="Times New Roman" w:eastAsia="方正黑体简体" w:cs="Times New Roman"/>
          <w:color w:val="auto"/>
          <w:lang w:eastAsia="zh-CN"/>
        </w:rPr>
        <w:t>、绩效目标</w:t>
      </w:r>
    </w:p>
    <w:p w14:paraId="471DAE59">
      <w:pPr>
        <w:keepNext w:val="0"/>
        <w:keepLines w:val="0"/>
        <w:pageBreakBefore w:val="0"/>
        <w:numPr>
          <w:ilvl w:val="0"/>
          <w:numId w:val="0"/>
        </w:numPr>
        <w:kinsoku/>
        <w:wordWrap/>
        <w:overflowPunct/>
        <w:topLinePunct w:val="0"/>
        <w:autoSpaceDE/>
        <w:autoSpaceDN/>
        <w:bidi w:val="0"/>
        <w:spacing w:line="560" w:lineRule="exact"/>
        <w:ind w:leftChars="200"/>
        <w:jc w:val="center"/>
        <w:rPr>
          <w:rFonts w:hint="default" w:ascii="Times New Roman" w:hAnsi="Times New Roman" w:eastAsia="方正仿宋简体" w:cs="Times New Roman"/>
          <w:b/>
          <w:bCs/>
          <w:color w:val="auto"/>
          <w:sz w:val="24"/>
          <w:szCs w:val="24"/>
          <w:lang w:val="en-US" w:eastAsia="zh-CN"/>
        </w:rPr>
      </w:pPr>
      <w:r>
        <w:rPr>
          <w:rFonts w:hint="default" w:ascii="Times New Roman" w:hAnsi="Times New Roman" w:eastAsia="方正仿宋简体" w:cs="Times New Roman"/>
          <w:b/>
          <w:bCs/>
          <w:color w:val="auto"/>
          <w:sz w:val="24"/>
          <w:szCs w:val="24"/>
          <w:lang w:val="en-US" w:eastAsia="zh-CN"/>
        </w:rPr>
        <w:t>表二  2026年六合区化肥减量增效与耕地质量监测评价项目绩效指标</w:t>
      </w:r>
    </w:p>
    <w:tbl>
      <w:tblPr>
        <w:tblStyle w:val="7"/>
        <w:tblW w:w="9038" w:type="dxa"/>
        <w:tblInd w:w="0" w:type="dxa"/>
        <w:tblLayout w:type="fixed"/>
        <w:tblCellMar>
          <w:top w:w="17" w:type="dxa"/>
          <w:left w:w="51" w:type="dxa"/>
          <w:bottom w:w="17" w:type="dxa"/>
          <w:right w:w="51" w:type="dxa"/>
        </w:tblCellMar>
      </w:tblPr>
      <w:tblGrid>
        <w:gridCol w:w="792"/>
        <w:gridCol w:w="1185"/>
        <w:gridCol w:w="1395"/>
        <w:gridCol w:w="4417"/>
        <w:gridCol w:w="1249"/>
      </w:tblGrid>
      <w:tr w14:paraId="1E57748C">
        <w:tblPrEx>
          <w:tblCellMar>
            <w:top w:w="17" w:type="dxa"/>
            <w:left w:w="51" w:type="dxa"/>
            <w:bottom w:w="17" w:type="dxa"/>
            <w:right w:w="51" w:type="dxa"/>
          </w:tblCellMar>
        </w:tblPrEx>
        <w:trPr>
          <w:trHeight w:val="456" w:hRule="atLeast"/>
        </w:trPr>
        <w:tc>
          <w:tcPr>
            <w:tcW w:w="792" w:type="dxa"/>
            <w:vMerge w:val="restart"/>
            <w:tcBorders>
              <w:top w:val="single" w:color="auto" w:sz="4" w:space="0"/>
              <w:left w:val="single" w:color="auto" w:sz="4" w:space="0"/>
              <w:right w:val="single" w:color="auto" w:sz="4" w:space="0"/>
            </w:tcBorders>
            <w:noWrap w:val="0"/>
            <w:vAlign w:val="center"/>
          </w:tcPr>
          <w:p w14:paraId="2727C97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kern w:val="0"/>
                <w:sz w:val="24"/>
                <w:szCs w:val="24"/>
              </w:rPr>
            </w:pPr>
            <w:r>
              <w:rPr>
                <w:rFonts w:hint="default" w:ascii="Times New Roman" w:hAnsi="Times New Roman" w:eastAsia="方正仿宋简体" w:cs="Times New Roman"/>
                <w:color w:val="000000"/>
                <w:kern w:val="0"/>
                <w:sz w:val="24"/>
                <w:szCs w:val="24"/>
              </w:rPr>
              <w:t>绩效</w:t>
            </w:r>
          </w:p>
          <w:p w14:paraId="3266D8C7">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指标</w:t>
            </w:r>
          </w:p>
        </w:tc>
        <w:tc>
          <w:tcPr>
            <w:tcW w:w="1185" w:type="dxa"/>
            <w:tcBorders>
              <w:top w:val="single" w:color="auto" w:sz="4" w:space="0"/>
              <w:left w:val="single" w:color="auto" w:sz="4" w:space="0"/>
              <w:bottom w:val="single" w:color="auto" w:sz="4" w:space="0"/>
              <w:right w:val="single" w:color="auto" w:sz="4" w:space="0"/>
            </w:tcBorders>
            <w:noWrap w:val="0"/>
            <w:vAlign w:val="center"/>
          </w:tcPr>
          <w:p w14:paraId="3E3E33F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一级指标</w:t>
            </w:r>
          </w:p>
        </w:tc>
        <w:tc>
          <w:tcPr>
            <w:tcW w:w="1395" w:type="dxa"/>
            <w:tcBorders>
              <w:top w:val="single" w:color="auto" w:sz="4" w:space="0"/>
              <w:left w:val="single" w:color="auto" w:sz="4" w:space="0"/>
              <w:bottom w:val="single" w:color="auto" w:sz="4" w:space="0"/>
              <w:right w:val="single" w:color="auto" w:sz="4" w:space="0"/>
            </w:tcBorders>
            <w:noWrap w:val="0"/>
            <w:vAlign w:val="center"/>
          </w:tcPr>
          <w:p w14:paraId="60B6108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二级指标</w:t>
            </w:r>
          </w:p>
        </w:tc>
        <w:tc>
          <w:tcPr>
            <w:tcW w:w="4417" w:type="dxa"/>
            <w:tcBorders>
              <w:top w:val="single" w:color="auto" w:sz="4" w:space="0"/>
              <w:left w:val="single" w:color="auto" w:sz="4" w:space="0"/>
              <w:bottom w:val="single" w:color="auto" w:sz="4" w:space="0"/>
              <w:right w:val="single" w:color="auto" w:sz="4" w:space="0"/>
            </w:tcBorders>
            <w:noWrap w:val="0"/>
            <w:vAlign w:val="center"/>
          </w:tcPr>
          <w:p w14:paraId="32AB911E">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三级指标</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120305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指标值</w:t>
            </w:r>
          </w:p>
        </w:tc>
      </w:tr>
      <w:tr w14:paraId="7E0DA0F7">
        <w:tblPrEx>
          <w:tblCellMar>
            <w:top w:w="17" w:type="dxa"/>
            <w:left w:w="51" w:type="dxa"/>
            <w:bottom w:w="17" w:type="dxa"/>
            <w:right w:w="51" w:type="dxa"/>
          </w:tblCellMar>
        </w:tblPrEx>
        <w:trPr>
          <w:trHeight w:val="514" w:hRule="atLeast"/>
        </w:trPr>
        <w:tc>
          <w:tcPr>
            <w:tcW w:w="792" w:type="dxa"/>
            <w:vMerge w:val="continue"/>
            <w:tcBorders>
              <w:left w:val="single" w:color="auto" w:sz="4" w:space="0"/>
              <w:right w:val="single" w:color="auto" w:sz="4" w:space="0"/>
            </w:tcBorders>
            <w:noWrap w:val="0"/>
            <w:vAlign w:val="center"/>
          </w:tcPr>
          <w:p w14:paraId="258A47D5">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restart"/>
            <w:tcBorders>
              <w:top w:val="single" w:color="auto" w:sz="4" w:space="0"/>
              <w:left w:val="single" w:color="auto" w:sz="4" w:space="0"/>
              <w:right w:val="single" w:color="auto" w:sz="4" w:space="0"/>
            </w:tcBorders>
            <w:noWrap w:val="0"/>
            <w:vAlign w:val="center"/>
          </w:tcPr>
          <w:p w14:paraId="1A3237B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lang w:eastAsia="zh-CN"/>
              </w:rPr>
            </w:pPr>
            <w:r>
              <w:rPr>
                <w:rFonts w:hint="default" w:ascii="Times New Roman" w:hAnsi="Times New Roman" w:eastAsia="方正仿宋简体" w:cs="Times New Roman"/>
                <w:color w:val="000000"/>
                <w:sz w:val="24"/>
                <w:szCs w:val="24"/>
                <w:lang w:eastAsia="zh-CN"/>
              </w:rPr>
              <w:t>产出指标</w:t>
            </w:r>
          </w:p>
        </w:tc>
        <w:tc>
          <w:tcPr>
            <w:tcW w:w="1395" w:type="dxa"/>
            <w:vMerge w:val="restart"/>
            <w:tcBorders>
              <w:top w:val="single" w:color="auto" w:sz="4" w:space="0"/>
              <w:left w:val="single" w:color="auto" w:sz="4" w:space="0"/>
              <w:right w:val="single" w:color="auto" w:sz="4" w:space="0"/>
            </w:tcBorders>
            <w:noWrap w:val="0"/>
            <w:vAlign w:val="center"/>
          </w:tcPr>
          <w:p w14:paraId="5AEF487A">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kern w:val="0"/>
                <w:sz w:val="24"/>
                <w:szCs w:val="24"/>
              </w:rPr>
            </w:pPr>
            <w:r>
              <w:rPr>
                <w:rFonts w:hint="default" w:ascii="Times New Roman" w:hAnsi="Times New Roman" w:eastAsia="方正仿宋简体" w:cs="Times New Roman"/>
                <w:color w:val="000000"/>
                <w:kern w:val="0"/>
                <w:sz w:val="24"/>
                <w:szCs w:val="24"/>
              </w:rPr>
              <w:t>数量指标</w:t>
            </w:r>
          </w:p>
        </w:tc>
        <w:tc>
          <w:tcPr>
            <w:tcW w:w="4417" w:type="dxa"/>
            <w:tcBorders>
              <w:top w:val="single" w:color="auto" w:sz="4" w:space="0"/>
              <w:left w:val="single" w:color="auto" w:sz="4" w:space="0"/>
              <w:bottom w:val="single" w:color="auto" w:sz="4" w:space="0"/>
              <w:right w:val="single" w:color="auto" w:sz="4" w:space="0"/>
            </w:tcBorders>
            <w:noWrap w:val="0"/>
            <w:vAlign w:val="center"/>
          </w:tcPr>
          <w:p w14:paraId="738BED70">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sz w:val="24"/>
                <w:szCs w:val="24"/>
                <w:lang w:val="en-US" w:eastAsia="zh-CN"/>
              </w:rPr>
            </w:pPr>
            <w:r>
              <w:rPr>
                <w:rStyle w:val="10"/>
                <w:rFonts w:hint="eastAsia" w:eastAsia="方正仿宋简体" w:cs="Times New Roman"/>
                <w:b w:val="0"/>
                <w:bCs/>
                <w:sz w:val="24"/>
                <w:szCs w:val="24"/>
                <w:lang w:val="en-US" w:eastAsia="zh-CN"/>
              </w:rPr>
              <w:t>化肥减量增效展示区数量（个）</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4CB515D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lang w:val="en-US" w:eastAsia="zh-CN"/>
              </w:rPr>
            </w:pPr>
            <w:r>
              <w:rPr>
                <w:rFonts w:hint="eastAsia" w:eastAsia="方正仿宋简体" w:cs="Times New Roman"/>
                <w:color w:val="000000"/>
                <w:sz w:val="24"/>
                <w:szCs w:val="24"/>
                <w:lang w:val="en-US" w:eastAsia="zh-CN"/>
              </w:rPr>
              <w:t>2</w:t>
            </w:r>
          </w:p>
        </w:tc>
      </w:tr>
      <w:tr w14:paraId="1F53BB87">
        <w:tblPrEx>
          <w:tblCellMar>
            <w:top w:w="17" w:type="dxa"/>
            <w:left w:w="51" w:type="dxa"/>
            <w:bottom w:w="17" w:type="dxa"/>
            <w:right w:w="51" w:type="dxa"/>
          </w:tblCellMar>
        </w:tblPrEx>
        <w:trPr>
          <w:trHeight w:val="514" w:hRule="atLeast"/>
        </w:trPr>
        <w:tc>
          <w:tcPr>
            <w:tcW w:w="792" w:type="dxa"/>
            <w:vMerge w:val="continue"/>
            <w:tcBorders>
              <w:left w:val="single" w:color="auto" w:sz="4" w:space="0"/>
              <w:right w:val="single" w:color="auto" w:sz="4" w:space="0"/>
            </w:tcBorders>
            <w:noWrap w:val="0"/>
            <w:vAlign w:val="center"/>
          </w:tcPr>
          <w:p w14:paraId="06F0A6BC">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right w:val="single" w:color="auto" w:sz="4" w:space="0"/>
            </w:tcBorders>
            <w:noWrap w:val="0"/>
            <w:vAlign w:val="center"/>
          </w:tcPr>
          <w:p w14:paraId="09A34AF4">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lang w:eastAsia="zh-CN"/>
              </w:rPr>
            </w:pPr>
          </w:p>
        </w:tc>
        <w:tc>
          <w:tcPr>
            <w:tcW w:w="1395" w:type="dxa"/>
            <w:vMerge w:val="continue"/>
            <w:tcBorders>
              <w:left w:val="single" w:color="auto" w:sz="4" w:space="0"/>
              <w:right w:val="single" w:color="auto" w:sz="4" w:space="0"/>
            </w:tcBorders>
            <w:noWrap w:val="0"/>
            <w:vAlign w:val="center"/>
          </w:tcPr>
          <w:p w14:paraId="3006430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kern w:val="0"/>
                <w:sz w:val="24"/>
                <w:szCs w:val="24"/>
              </w:rPr>
            </w:pPr>
          </w:p>
        </w:tc>
        <w:tc>
          <w:tcPr>
            <w:tcW w:w="4417" w:type="dxa"/>
            <w:tcBorders>
              <w:top w:val="single" w:color="auto" w:sz="4" w:space="0"/>
              <w:left w:val="single" w:color="auto" w:sz="4" w:space="0"/>
              <w:bottom w:val="single" w:color="auto" w:sz="4" w:space="0"/>
              <w:right w:val="single" w:color="auto" w:sz="4" w:space="0"/>
            </w:tcBorders>
            <w:noWrap w:val="0"/>
            <w:vAlign w:val="center"/>
          </w:tcPr>
          <w:p w14:paraId="631F1049">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color w:val="000000"/>
                <w:kern w:val="2"/>
                <w:sz w:val="24"/>
                <w:szCs w:val="24"/>
                <w:u w:val="none"/>
                <w:lang w:val="en-US" w:eastAsia="zh-CN" w:bidi="ar-SA"/>
              </w:rPr>
            </w:pPr>
            <w:r>
              <w:rPr>
                <w:rStyle w:val="10"/>
                <w:rFonts w:hint="eastAsia" w:eastAsia="方正仿宋简体" w:cs="Times New Roman"/>
                <w:b w:val="0"/>
                <w:bCs/>
                <w:sz w:val="24"/>
                <w:szCs w:val="24"/>
                <w:lang w:val="en-US" w:eastAsia="zh-CN"/>
              </w:rPr>
              <w:t>运行省级</w:t>
            </w:r>
            <w:r>
              <w:rPr>
                <w:rStyle w:val="10"/>
                <w:rFonts w:hint="default" w:ascii="Times New Roman" w:hAnsi="Times New Roman" w:eastAsia="方正仿宋简体" w:cs="Times New Roman"/>
                <w:b w:val="0"/>
                <w:bCs/>
                <w:sz w:val="24"/>
                <w:szCs w:val="24"/>
                <w:lang w:val="en-US" w:eastAsia="zh-CN"/>
              </w:rPr>
              <w:t>耕地质量监测点</w:t>
            </w:r>
            <w:r>
              <w:rPr>
                <w:rStyle w:val="10"/>
                <w:rFonts w:hint="eastAsia" w:eastAsia="方正仿宋简体" w:cs="Times New Roman"/>
                <w:b w:val="0"/>
                <w:bCs/>
                <w:sz w:val="24"/>
                <w:szCs w:val="24"/>
                <w:lang w:val="en-US" w:eastAsia="zh-CN"/>
              </w:rPr>
              <w:t>点</w:t>
            </w:r>
            <w:r>
              <w:rPr>
                <w:rStyle w:val="10"/>
                <w:rFonts w:hint="default" w:ascii="Times New Roman" w:hAnsi="Times New Roman" w:eastAsia="方正仿宋简体" w:cs="Times New Roman"/>
                <w:b w:val="0"/>
                <w:bCs/>
                <w:sz w:val="24"/>
                <w:szCs w:val="24"/>
                <w:lang w:val="en-US" w:eastAsia="zh-CN"/>
              </w:rPr>
              <w:t>位数量（个）</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368745F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kern w:val="2"/>
                <w:sz w:val="24"/>
                <w:szCs w:val="24"/>
                <w:lang w:val="en-US" w:eastAsia="zh-CN" w:bidi="ar-SA"/>
              </w:rPr>
            </w:pPr>
            <w:r>
              <w:rPr>
                <w:rFonts w:hint="eastAsia" w:eastAsia="方正仿宋简体" w:cs="Times New Roman"/>
                <w:color w:val="000000"/>
                <w:sz w:val="24"/>
                <w:szCs w:val="24"/>
                <w:lang w:val="en-US" w:eastAsia="zh-CN"/>
              </w:rPr>
              <w:t>9</w:t>
            </w:r>
          </w:p>
        </w:tc>
      </w:tr>
      <w:tr w14:paraId="7D02E1DD">
        <w:tblPrEx>
          <w:tblCellMar>
            <w:top w:w="17" w:type="dxa"/>
            <w:left w:w="51" w:type="dxa"/>
            <w:bottom w:w="17" w:type="dxa"/>
            <w:right w:w="51" w:type="dxa"/>
          </w:tblCellMar>
        </w:tblPrEx>
        <w:trPr>
          <w:trHeight w:val="507" w:hRule="atLeast"/>
        </w:trPr>
        <w:tc>
          <w:tcPr>
            <w:tcW w:w="792" w:type="dxa"/>
            <w:vMerge w:val="continue"/>
            <w:tcBorders>
              <w:left w:val="single" w:color="auto" w:sz="4" w:space="0"/>
              <w:right w:val="single" w:color="auto" w:sz="4" w:space="0"/>
            </w:tcBorders>
            <w:noWrap w:val="0"/>
            <w:vAlign w:val="center"/>
          </w:tcPr>
          <w:p w14:paraId="6587BD5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right w:val="single" w:color="auto" w:sz="4" w:space="0"/>
            </w:tcBorders>
            <w:noWrap w:val="0"/>
            <w:vAlign w:val="center"/>
          </w:tcPr>
          <w:p w14:paraId="31A41E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lang w:eastAsia="zh-CN"/>
              </w:rPr>
            </w:pPr>
          </w:p>
        </w:tc>
        <w:tc>
          <w:tcPr>
            <w:tcW w:w="1395" w:type="dxa"/>
            <w:vMerge w:val="continue"/>
            <w:tcBorders>
              <w:left w:val="single" w:color="auto" w:sz="4" w:space="0"/>
              <w:right w:val="single" w:color="auto" w:sz="4" w:space="0"/>
            </w:tcBorders>
            <w:noWrap w:val="0"/>
            <w:vAlign w:val="center"/>
          </w:tcPr>
          <w:p w14:paraId="35F69A48">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kern w:val="0"/>
                <w:sz w:val="24"/>
                <w:szCs w:val="24"/>
              </w:rPr>
            </w:pPr>
          </w:p>
        </w:tc>
        <w:tc>
          <w:tcPr>
            <w:tcW w:w="4417" w:type="dxa"/>
            <w:tcBorders>
              <w:top w:val="single" w:color="auto" w:sz="4" w:space="0"/>
              <w:left w:val="single" w:color="auto" w:sz="4" w:space="0"/>
              <w:bottom w:val="single" w:color="auto" w:sz="4" w:space="0"/>
              <w:right w:val="single" w:color="auto" w:sz="4" w:space="0"/>
            </w:tcBorders>
            <w:noWrap w:val="0"/>
            <w:vAlign w:val="center"/>
          </w:tcPr>
          <w:p w14:paraId="28B9507F">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b w:val="0"/>
                <w:bCs/>
                <w:color w:val="000000"/>
                <w:kern w:val="2"/>
                <w:sz w:val="24"/>
                <w:szCs w:val="24"/>
                <w:u w:val="none"/>
                <w:lang w:val="en-US" w:eastAsia="zh-CN" w:bidi="ar-SA"/>
              </w:rPr>
            </w:pPr>
            <w:r>
              <w:rPr>
                <w:rFonts w:hint="default" w:ascii="Times New Roman" w:hAnsi="Times New Roman" w:eastAsia="方正仿宋简体" w:cs="Times New Roman"/>
                <w:b w:val="0"/>
                <w:bCs/>
                <w:color w:val="000000"/>
                <w:kern w:val="2"/>
                <w:sz w:val="24"/>
                <w:szCs w:val="24"/>
                <w:u w:val="none"/>
                <w:lang w:val="en-US" w:eastAsia="zh-CN" w:bidi="ar-SA"/>
              </w:rPr>
              <w:t>开展耕地质量等级</w:t>
            </w:r>
            <w:r>
              <w:rPr>
                <w:rFonts w:hint="eastAsia" w:eastAsia="方正仿宋简体" w:cs="Times New Roman"/>
                <w:b w:val="0"/>
                <w:bCs/>
                <w:color w:val="000000"/>
                <w:kern w:val="2"/>
                <w:sz w:val="24"/>
                <w:szCs w:val="24"/>
                <w:u w:val="none"/>
                <w:lang w:val="en-US" w:eastAsia="zh-CN" w:bidi="ar-SA"/>
              </w:rPr>
              <w:t>调查</w:t>
            </w:r>
            <w:r>
              <w:rPr>
                <w:rFonts w:hint="default" w:ascii="Times New Roman" w:hAnsi="Times New Roman" w:eastAsia="方正仿宋简体" w:cs="Times New Roman"/>
                <w:b w:val="0"/>
                <w:bCs/>
                <w:color w:val="000000"/>
                <w:kern w:val="2"/>
                <w:sz w:val="24"/>
                <w:szCs w:val="24"/>
                <w:u w:val="none"/>
                <w:lang w:val="en-US" w:eastAsia="zh-CN" w:bidi="ar-SA"/>
              </w:rPr>
              <w:t>评价区数量（个）</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49A868FA">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kern w:val="2"/>
                <w:sz w:val="24"/>
                <w:szCs w:val="24"/>
                <w:lang w:val="en-US" w:eastAsia="zh-CN" w:bidi="ar-SA"/>
              </w:rPr>
            </w:pPr>
            <w:r>
              <w:rPr>
                <w:rFonts w:hint="default" w:ascii="Times New Roman" w:hAnsi="Times New Roman" w:eastAsia="方正仿宋简体" w:cs="Times New Roman"/>
                <w:color w:val="000000"/>
                <w:sz w:val="24"/>
                <w:szCs w:val="24"/>
                <w:lang w:val="en-US" w:eastAsia="zh-CN"/>
              </w:rPr>
              <w:t>1</w:t>
            </w:r>
          </w:p>
        </w:tc>
      </w:tr>
      <w:tr w14:paraId="2D4B37EE">
        <w:tblPrEx>
          <w:tblCellMar>
            <w:top w:w="17" w:type="dxa"/>
            <w:left w:w="51" w:type="dxa"/>
            <w:bottom w:w="17" w:type="dxa"/>
            <w:right w:w="51" w:type="dxa"/>
          </w:tblCellMar>
        </w:tblPrEx>
        <w:trPr>
          <w:trHeight w:val="437" w:hRule="atLeast"/>
        </w:trPr>
        <w:tc>
          <w:tcPr>
            <w:tcW w:w="792" w:type="dxa"/>
            <w:vMerge w:val="continue"/>
            <w:tcBorders>
              <w:left w:val="single" w:color="auto" w:sz="4" w:space="0"/>
              <w:right w:val="single" w:color="auto" w:sz="4" w:space="0"/>
            </w:tcBorders>
            <w:noWrap w:val="0"/>
            <w:vAlign w:val="center"/>
          </w:tcPr>
          <w:p w14:paraId="05493E28">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right w:val="single" w:color="auto" w:sz="4" w:space="0"/>
            </w:tcBorders>
            <w:noWrap w:val="0"/>
            <w:vAlign w:val="center"/>
          </w:tcPr>
          <w:p w14:paraId="7CCB7654">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395" w:type="dxa"/>
            <w:vMerge w:val="continue"/>
            <w:tcBorders>
              <w:left w:val="single" w:color="auto" w:sz="4" w:space="0"/>
              <w:right w:val="single" w:color="auto" w:sz="4" w:space="0"/>
            </w:tcBorders>
            <w:noWrap w:val="0"/>
            <w:vAlign w:val="center"/>
          </w:tcPr>
          <w:p w14:paraId="2E921DDB">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4417" w:type="dxa"/>
            <w:tcBorders>
              <w:top w:val="single" w:color="auto" w:sz="4" w:space="0"/>
              <w:left w:val="single" w:color="auto" w:sz="4" w:space="0"/>
              <w:bottom w:val="single" w:color="auto" w:sz="4" w:space="0"/>
              <w:right w:val="single" w:color="auto" w:sz="4" w:space="0"/>
            </w:tcBorders>
            <w:noWrap w:val="0"/>
            <w:vAlign w:val="center"/>
          </w:tcPr>
          <w:p w14:paraId="079B9BB3">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val="0"/>
                <w:sz w:val="24"/>
                <w:szCs w:val="24"/>
              </w:rPr>
            </w:pPr>
            <w:r>
              <w:rPr>
                <w:rStyle w:val="10"/>
                <w:rFonts w:hint="default" w:ascii="Times New Roman" w:hAnsi="Times New Roman" w:eastAsia="方正仿宋简体" w:cs="Times New Roman"/>
                <w:b w:val="0"/>
                <w:bCs w:val="0"/>
                <w:sz w:val="24"/>
                <w:szCs w:val="24"/>
              </w:rPr>
              <w:t>农户施肥调查数量（户）</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7446DA53">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lang w:val="en-US" w:eastAsia="zh-CN"/>
              </w:rPr>
            </w:pPr>
            <w:r>
              <w:rPr>
                <w:rFonts w:hint="default" w:ascii="Times New Roman" w:hAnsi="Times New Roman" w:eastAsia="方正仿宋简体" w:cs="Times New Roman"/>
                <w:color w:val="000000"/>
                <w:sz w:val="24"/>
                <w:szCs w:val="24"/>
                <w:lang w:val="en-US" w:eastAsia="zh-CN"/>
              </w:rPr>
              <w:t>160</w:t>
            </w:r>
          </w:p>
        </w:tc>
      </w:tr>
      <w:tr w14:paraId="52B05F67">
        <w:tblPrEx>
          <w:tblCellMar>
            <w:top w:w="17" w:type="dxa"/>
            <w:left w:w="51" w:type="dxa"/>
            <w:bottom w:w="17" w:type="dxa"/>
            <w:right w:w="51" w:type="dxa"/>
          </w:tblCellMar>
        </w:tblPrEx>
        <w:trPr>
          <w:trHeight w:val="437" w:hRule="atLeast"/>
        </w:trPr>
        <w:tc>
          <w:tcPr>
            <w:tcW w:w="792" w:type="dxa"/>
            <w:vMerge w:val="continue"/>
            <w:tcBorders>
              <w:left w:val="single" w:color="auto" w:sz="4" w:space="0"/>
              <w:right w:val="single" w:color="auto" w:sz="4" w:space="0"/>
            </w:tcBorders>
            <w:noWrap w:val="0"/>
            <w:vAlign w:val="center"/>
          </w:tcPr>
          <w:p w14:paraId="04C7664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right w:val="single" w:color="auto" w:sz="4" w:space="0"/>
            </w:tcBorders>
            <w:noWrap w:val="0"/>
            <w:vAlign w:val="center"/>
          </w:tcPr>
          <w:p w14:paraId="27D83D91">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395" w:type="dxa"/>
            <w:vMerge w:val="continue"/>
            <w:tcBorders>
              <w:left w:val="single" w:color="auto" w:sz="4" w:space="0"/>
              <w:right w:val="single" w:color="auto" w:sz="4" w:space="0"/>
            </w:tcBorders>
            <w:noWrap w:val="0"/>
            <w:vAlign w:val="center"/>
          </w:tcPr>
          <w:p w14:paraId="6BC09D70">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4417" w:type="dxa"/>
            <w:tcBorders>
              <w:top w:val="single" w:color="auto" w:sz="4" w:space="0"/>
              <w:left w:val="single" w:color="auto" w:sz="4" w:space="0"/>
              <w:bottom w:val="single" w:color="auto" w:sz="4" w:space="0"/>
              <w:right w:val="single" w:color="auto" w:sz="4" w:space="0"/>
            </w:tcBorders>
            <w:noWrap w:val="0"/>
            <w:vAlign w:val="center"/>
          </w:tcPr>
          <w:p w14:paraId="78EADC05">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val="0"/>
                <w:sz w:val="24"/>
                <w:szCs w:val="24"/>
                <w:lang w:val="en-US" w:eastAsia="zh-CN"/>
              </w:rPr>
            </w:pPr>
            <w:r>
              <w:rPr>
                <w:rStyle w:val="10"/>
                <w:rFonts w:hint="eastAsia" w:eastAsia="方正仿宋简体" w:cs="Times New Roman"/>
                <w:b w:val="0"/>
                <w:bCs w:val="0"/>
                <w:sz w:val="24"/>
                <w:szCs w:val="24"/>
                <w:lang w:val="en-US" w:eastAsia="zh-CN"/>
              </w:rPr>
              <w:t>田间试验数量（个）</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8CEEB0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lang w:val="en-US" w:eastAsia="zh-CN"/>
              </w:rPr>
            </w:pPr>
            <w:r>
              <w:rPr>
                <w:rFonts w:hint="eastAsia" w:eastAsia="方正仿宋简体" w:cs="Times New Roman"/>
                <w:color w:val="000000"/>
                <w:sz w:val="24"/>
                <w:szCs w:val="24"/>
                <w:lang w:val="en-US" w:eastAsia="zh-CN"/>
              </w:rPr>
              <w:t>4</w:t>
            </w:r>
          </w:p>
        </w:tc>
      </w:tr>
      <w:tr w14:paraId="00B76FCD">
        <w:tblPrEx>
          <w:tblCellMar>
            <w:top w:w="17" w:type="dxa"/>
            <w:left w:w="51" w:type="dxa"/>
            <w:bottom w:w="17" w:type="dxa"/>
            <w:right w:w="51" w:type="dxa"/>
          </w:tblCellMar>
        </w:tblPrEx>
        <w:trPr>
          <w:trHeight w:val="485" w:hRule="atLeast"/>
        </w:trPr>
        <w:tc>
          <w:tcPr>
            <w:tcW w:w="792" w:type="dxa"/>
            <w:vMerge w:val="continue"/>
            <w:tcBorders>
              <w:left w:val="single" w:color="auto" w:sz="4" w:space="0"/>
              <w:right w:val="single" w:color="auto" w:sz="4" w:space="0"/>
            </w:tcBorders>
            <w:noWrap w:val="0"/>
            <w:vAlign w:val="center"/>
          </w:tcPr>
          <w:p w14:paraId="294780C2">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right w:val="single" w:color="auto" w:sz="4" w:space="0"/>
            </w:tcBorders>
            <w:noWrap w:val="0"/>
            <w:vAlign w:val="center"/>
          </w:tcPr>
          <w:p w14:paraId="694F820D">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395" w:type="dxa"/>
            <w:tcBorders>
              <w:top w:val="single" w:color="auto" w:sz="4" w:space="0"/>
              <w:left w:val="single" w:color="auto" w:sz="4" w:space="0"/>
              <w:bottom w:val="single" w:color="auto" w:sz="4" w:space="0"/>
              <w:right w:val="single" w:color="auto" w:sz="4" w:space="0"/>
            </w:tcBorders>
            <w:noWrap w:val="0"/>
            <w:vAlign w:val="center"/>
          </w:tcPr>
          <w:p w14:paraId="11B635AB">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kern w:val="0"/>
                <w:sz w:val="24"/>
                <w:szCs w:val="24"/>
              </w:rPr>
              <w:t>质量指标</w:t>
            </w:r>
          </w:p>
        </w:tc>
        <w:tc>
          <w:tcPr>
            <w:tcW w:w="4417" w:type="dxa"/>
            <w:tcBorders>
              <w:top w:val="single" w:color="auto" w:sz="4" w:space="0"/>
              <w:left w:val="single" w:color="auto" w:sz="4" w:space="0"/>
              <w:bottom w:val="single" w:color="auto" w:sz="4" w:space="0"/>
              <w:right w:val="single" w:color="auto" w:sz="4" w:space="0"/>
            </w:tcBorders>
            <w:noWrap w:val="0"/>
            <w:vAlign w:val="center"/>
          </w:tcPr>
          <w:p w14:paraId="1FE09819">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val="0"/>
                <w:sz w:val="24"/>
                <w:szCs w:val="24"/>
                <w:lang w:val="en-US" w:eastAsia="zh-CN"/>
              </w:rPr>
            </w:pPr>
            <w:r>
              <w:rPr>
                <w:rStyle w:val="10"/>
                <w:rFonts w:hint="default" w:ascii="Times New Roman" w:hAnsi="Times New Roman" w:eastAsia="方正仿宋简体" w:cs="Times New Roman"/>
                <w:b w:val="0"/>
                <w:bCs w:val="0"/>
                <w:sz w:val="24"/>
                <w:szCs w:val="24"/>
                <w:lang w:val="en-US" w:eastAsia="zh-CN"/>
              </w:rPr>
              <w:t>省级耕地质量监测点运行情况</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34D6CC22">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sz w:val="24"/>
                <w:szCs w:val="24"/>
                <w:lang w:eastAsia="zh-CN"/>
              </w:rPr>
            </w:pPr>
            <w:r>
              <w:rPr>
                <w:rFonts w:hint="default" w:ascii="Times New Roman" w:hAnsi="Times New Roman" w:eastAsia="方正仿宋简体" w:cs="Times New Roman"/>
                <w:color w:val="000000"/>
                <w:kern w:val="0"/>
                <w:sz w:val="24"/>
                <w:szCs w:val="24"/>
                <w:lang w:val="en-US" w:eastAsia="zh-CN"/>
              </w:rPr>
              <w:t>正常</w:t>
            </w:r>
          </w:p>
        </w:tc>
      </w:tr>
      <w:tr w14:paraId="28886896">
        <w:tblPrEx>
          <w:tblCellMar>
            <w:top w:w="17" w:type="dxa"/>
            <w:left w:w="51" w:type="dxa"/>
            <w:bottom w:w="17" w:type="dxa"/>
            <w:right w:w="51" w:type="dxa"/>
          </w:tblCellMar>
        </w:tblPrEx>
        <w:trPr>
          <w:trHeight w:val="727" w:hRule="atLeast"/>
        </w:trPr>
        <w:tc>
          <w:tcPr>
            <w:tcW w:w="792" w:type="dxa"/>
            <w:vMerge w:val="continue"/>
            <w:tcBorders>
              <w:left w:val="single" w:color="auto" w:sz="4" w:space="0"/>
              <w:right w:val="single" w:color="auto" w:sz="4" w:space="0"/>
            </w:tcBorders>
            <w:noWrap w:val="0"/>
            <w:vAlign w:val="center"/>
          </w:tcPr>
          <w:p w14:paraId="684F374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restart"/>
            <w:tcBorders>
              <w:top w:val="single" w:color="auto" w:sz="4" w:space="0"/>
              <w:left w:val="single" w:color="auto" w:sz="4" w:space="0"/>
              <w:right w:val="single" w:color="auto" w:sz="4" w:space="0"/>
            </w:tcBorders>
            <w:noWrap w:val="0"/>
            <w:vAlign w:val="center"/>
          </w:tcPr>
          <w:p w14:paraId="1549B579">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r>
              <w:rPr>
                <w:rFonts w:hint="default" w:ascii="Times New Roman" w:hAnsi="Times New Roman" w:eastAsia="方正仿宋简体" w:cs="Times New Roman"/>
                <w:color w:val="000000"/>
                <w:sz w:val="24"/>
                <w:szCs w:val="24"/>
              </w:rPr>
              <w:t>效益指标</w:t>
            </w:r>
          </w:p>
        </w:tc>
        <w:tc>
          <w:tcPr>
            <w:tcW w:w="1395" w:type="dxa"/>
            <w:vMerge w:val="restart"/>
            <w:tcBorders>
              <w:top w:val="single" w:color="auto" w:sz="4" w:space="0"/>
              <w:left w:val="single" w:color="auto" w:sz="4" w:space="0"/>
              <w:right w:val="single" w:color="auto" w:sz="4" w:space="0"/>
            </w:tcBorders>
            <w:noWrap w:val="0"/>
            <w:vAlign w:val="center"/>
          </w:tcPr>
          <w:p w14:paraId="13350871">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sz w:val="24"/>
                <w:szCs w:val="24"/>
              </w:rPr>
            </w:pPr>
            <w:r>
              <w:rPr>
                <w:rStyle w:val="10"/>
                <w:rFonts w:hint="eastAsia" w:eastAsia="方正仿宋简体" w:cs="Times New Roman"/>
                <w:b w:val="0"/>
                <w:bCs/>
                <w:sz w:val="24"/>
                <w:szCs w:val="24"/>
                <w:lang w:val="en-US" w:eastAsia="zh-CN"/>
              </w:rPr>
              <w:t>生态</w:t>
            </w:r>
            <w:r>
              <w:rPr>
                <w:rStyle w:val="10"/>
                <w:rFonts w:hint="default" w:ascii="Times New Roman" w:hAnsi="Times New Roman" w:eastAsia="方正仿宋简体" w:cs="Times New Roman"/>
                <w:b w:val="0"/>
                <w:bCs/>
                <w:sz w:val="24"/>
                <w:szCs w:val="24"/>
              </w:rPr>
              <w:t>效益</w:t>
            </w:r>
          </w:p>
          <w:p w14:paraId="7E6DF427">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sz w:val="24"/>
                <w:szCs w:val="24"/>
              </w:rPr>
            </w:pPr>
            <w:r>
              <w:rPr>
                <w:rStyle w:val="10"/>
                <w:rFonts w:hint="default" w:ascii="Times New Roman" w:hAnsi="Times New Roman" w:eastAsia="方正仿宋简体" w:cs="Times New Roman"/>
                <w:b w:val="0"/>
                <w:bCs/>
                <w:sz w:val="24"/>
                <w:szCs w:val="24"/>
              </w:rPr>
              <w:t>指标</w:t>
            </w:r>
          </w:p>
        </w:tc>
        <w:tc>
          <w:tcPr>
            <w:tcW w:w="4417" w:type="dxa"/>
            <w:tcBorders>
              <w:top w:val="single" w:color="auto" w:sz="4" w:space="0"/>
              <w:left w:val="single" w:color="auto" w:sz="4" w:space="0"/>
              <w:bottom w:val="single" w:color="auto" w:sz="4" w:space="0"/>
              <w:right w:val="single" w:color="auto" w:sz="4" w:space="0"/>
            </w:tcBorders>
            <w:noWrap w:val="0"/>
            <w:vAlign w:val="center"/>
          </w:tcPr>
          <w:p w14:paraId="55102DE4">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sz w:val="24"/>
                <w:szCs w:val="24"/>
                <w:lang w:val="en-US" w:eastAsia="zh-CN"/>
              </w:rPr>
            </w:pPr>
            <w:r>
              <w:rPr>
                <w:rStyle w:val="10"/>
                <w:rFonts w:hint="eastAsia" w:eastAsia="方正仿宋简体" w:cs="Times New Roman"/>
                <w:b w:val="0"/>
                <w:bCs/>
                <w:sz w:val="24"/>
                <w:szCs w:val="24"/>
                <w:lang w:val="en-US" w:eastAsia="zh-CN"/>
              </w:rPr>
              <w:t>受污染耕地安全利用率</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0ACC4A5D">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ascii="Times New Roman" w:hAnsi="Times New Roman" w:eastAsia="方正仿宋简体" w:cs="Times New Roman"/>
                <w:color w:val="000000"/>
                <w:kern w:val="0"/>
                <w:sz w:val="24"/>
                <w:szCs w:val="24"/>
                <w:lang w:val="en-US" w:eastAsia="zh-CN"/>
              </w:rPr>
            </w:pPr>
            <w:r>
              <w:rPr>
                <w:rFonts w:hint="eastAsia" w:eastAsia="方正仿宋简体" w:cs="Times New Roman"/>
                <w:color w:val="000000"/>
                <w:kern w:val="0"/>
                <w:sz w:val="24"/>
                <w:szCs w:val="24"/>
                <w:lang w:val="en-US" w:eastAsia="zh-CN"/>
              </w:rPr>
              <w:t>≥95%</w:t>
            </w:r>
          </w:p>
        </w:tc>
      </w:tr>
      <w:tr w14:paraId="4CE3EA00">
        <w:tblPrEx>
          <w:tblCellMar>
            <w:top w:w="17" w:type="dxa"/>
            <w:left w:w="51" w:type="dxa"/>
            <w:bottom w:w="17" w:type="dxa"/>
            <w:right w:w="51" w:type="dxa"/>
          </w:tblCellMar>
        </w:tblPrEx>
        <w:trPr>
          <w:trHeight w:val="727" w:hRule="atLeast"/>
        </w:trPr>
        <w:tc>
          <w:tcPr>
            <w:tcW w:w="792" w:type="dxa"/>
            <w:vMerge w:val="continue"/>
            <w:tcBorders>
              <w:left w:val="single" w:color="auto" w:sz="4" w:space="0"/>
              <w:bottom w:val="single" w:color="auto" w:sz="4" w:space="0"/>
              <w:right w:val="single" w:color="auto" w:sz="4" w:space="0"/>
            </w:tcBorders>
            <w:noWrap w:val="0"/>
            <w:vAlign w:val="center"/>
          </w:tcPr>
          <w:p w14:paraId="2AB97B6F">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185" w:type="dxa"/>
            <w:vMerge w:val="continue"/>
            <w:tcBorders>
              <w:left w:val="single" w:color="auto" w:sz="4" w:space="0"/>
              <w:bottom w:val="single" w:color="auto" w:sz="4" w:space="0"/>
              <w:right w:val="single" w:color="auto" w:sz="4" w:space="0"/>
            </w:tcBorders>
            <w:noWrap w:val="0"/>
            <w:vAlign w:val="center"/>
          </w:tcPr>
          <w:p w14:paraId="1251BB76">
            <w:pPr>
              <w:keepNext w:val="0"/>
              <w:keepLines w:val="0"/>
              <w:pageBreakBefore w:val="0"/>
              <w:widowControl/>
              <w:kinsoku/>
              <w:wordWrap/>
              <w:overflowPunct/>
              <w:topLinePunct w:val="0"/>
              <w:autoSpaceDE/>
              <w:autoSpaceDN/>
              <w:bidi w:val="0"/>
              <w:adjustRightInd/>
              <w:snapToGrid/>
              <w:spacing w:line="300" w:lineRule="exact"/>
              <w:jc w:val="center"/>
              <w:rPr>
                <w:rFonts w:hint="default" w:ascii="Times New Roman" w:hAnsi="Times New Roman" w:eastAsia="方正仿宋简体" w:cs="Times New Roman"/>
                <w:color w:val="000000"/>
                <w:sz w:val="24"/>
                <w:szCs w:val="24"/>
              </w:rPr>
            </w:pPr>
          </w:p>
        </w:tc>
        <w:tc>
          <w:tcPr>
            <w:tcW w:w="1395" w:type="dxa"/>
            <w:vMerge w:val="continue"/>
            <w:tcBorders>
              <w:left w:val="single" w:color="auto" w:sz="4" w:space="0"/>
              <w:bottom w:val="single" w:color="auto" w:sz="4" w:space="0"/>
              <w:right w:val="single" w:color="auto" w:sz="4" w:space="0"/>
            </w:tcBorders>
            <w:noWrap w:val="0"/>
            <w:vAlign w:val="center"/>
          </w:tcPr>
          <w:p w14:paraId="70B42F43">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default" w:ascii="Times New Roman" w:hAnsi="Times New Roman" w:eastAsia="方正仿宋简体" w:cs="Times New Roman"/>
                <w:b w:val="0"/>
                <w:bCs/>
                <w:sz w:val="24"/>
                <w:szCs w:val="24"/>
              </w:rPr>
            </w:pPr>
          </w:p>
        </w:tc>
        <w:tc>
          <w:tcPr>
            <w:tcW w:w="4417" w:type="dxa"/>
            <w:tcBorders>
              <w:top w:val="single" w:color="auto" w:sz="4" w:space="0"/>
              <w:left w:val="single" w:color="auto" w:sz="4" w:space="0"/>
              <w:bottom w:val="single" w:color="auto" w:sz="4" w:space="0"/>
              <w:right w:val="single" w:color="auto" w:sz="4" w:space="0"/>
            </w:tcBorders>
            <w:noWrap w:val="0"/>
            <w:vAlign w:val="center"/>
          </w:tcPr>
          <w:p w14:paraId="0B895989">
            <w:pPr>
              <w:keepNext w:val="0"/>
              <w:keepLines w:val="0"/>
              <w:pageBreakBefore w:val="0"/>
              <w:widowControl/>
              <w:kinsoku/>
              <w:wordWrap/>
              <w:overflowPunct/>
              <w:topLinePunct w:val="0"/>
              <w:autoSpaceDE/>
              <w:autoSpaceDN/>
              <w:bidi w:val="0"/>
              <w:adjustRightInd/>
              <w:snapToGrid/>
              <w:spacing w:line="300" w:lineRule="exact"/>
              <w:jc w:val="center"/>
              <w:textAlignment w:val="center"/>
              <w:rPr>
                <w:rStyle w:val="10"/>
                <w:rFonts w:hint="eastAsia" w:eastAsia="方正仿宋简体" w:cs="Times New Roman"/>
                <w:b w:val="0"/>
                <w:bCs/>
                <w:sz w:val="24"/>
                <w:szCs w:val="24"/>
                <w:lang w:val="en-US" w:eastAsia="zh-CN"/>
              </w:rPr>
            </w:pPr>
            <w:r>
              <w:rPr>
                <w:rStyle w:val="10"/>
                <w:rFonts w:hint="eastAsia" w:eastAsia="方正仿宋简体" w:cs="Times New Roman"/>
                <w:b w:val="0"/>
                <w:bCs/>
                <w:sz w:val="24"/>
                <w:szCs w:val="24"/>
                <w:lang w:val="en-US" w:eastAsia="zh-CN"/>
              </w:rPr>
              <w:t>化肥减量增效展示区内氮肥施用强度较常规施肥削减率</w:t>
            </w:r>
          </w:p>
        </w:tc>
        <w:tc>
          <w:tcPr>
            <w:tcW w:w="1249" w:type="dxa"/>
            <w:tcBorders>
              <w:top w:val="single" w:color="auto" w:sz="4" w:space="0"/>
              <w:left w:val="single" w:color="auto" w:sz="4" w:space="0"/>
              <w:bottom w:val="single" w:color="auto" w:sz="4" w:space="0"/>
              <w:right w:val="single" w:color="auto" w:sz="4" w:space="0"/>
            </w:tcBorders>
            <w:noWrap w:val="0"/>
            <w:vAlign w:val="center"/>
          </w:tcPr>
          <w:p w14:paraId="17ADC5B3">
            <w:pPr>
              <w:keepNext w:val="0"/>
              <w:keepLines w:val="0"/>
              <w:pageBreakBefore w:val="0"/>
              <w:widowControl/>
              <w:kinsoku/>
              <w:wordWrap/>
              <w:overflowPunct/>
              <w:topLinePunct w:val="0"/>
              <w:autoSpaceDE/>
              <w:autoSpaceDN/>
              <w:bidi w:val="0"/>
              <w:adjustRightInd/>
              <w:snapToGrid/>
              <w:spacing w:line="300" w:lineRule="exact"/>
              <w:jc w:val="center"/>
              <w:textAlignment w:val="center"/>
              <w:rPr>
                <w:rFonts w:hint="default" w:eastAsia="方正仿宋简体" w:cs="Times New Roman"/>
                <w:color w:val="000000"/>
                <w:kern w:val="0"/>
                <w:sz w:val="24"/>
                <w:szCs w:val="24"/>
                <w:lang w:val="en-US" w:eastAsia="zh-CN"/>
              </w:rPr>
            </w:pPr>
            <w:r>
              <w:rPr>
                <w:rFonts w:hint="eastAsia" w:eastAsia="方正仿宋简体" w:cs="Times New Roman"/>
                <w:color w:val="000000"/>
                <w:kern w:val="0"/>
                <w:sz w:val="24"/>
                <w:szCs w:val="24"/>
                <w:lang w:val="en-US" w:eastAsia="zh-CN"/>
              </w:rPr>
              <w:t>≥1%</w:t>
            </w:r>
          </w:p>
        </w:tc>
      </w:tr>
    </w:tbl>
    <w:p w14:paraId="3CE099AC">
      <w:pPr>
        <w:keepNext w:val="0"/>
        <w:keepLines w:val="0"/>
        <w:pageBreakBefore w:val="0"/>
        <w:kinsoku/>
        <w:wordWrap/>
        <w:overflowPunct/>
        <w:topLinePunct w:val="0"/>
        <w:autoSpaceDE/>
        <w:autoSpaceDN/>
        <w:bidi w:val="0"/>
        <w:spacing w:line="540" w:lineRule="exact"/>
        <w:ind w:firstLine="640" w:firstLineChars="200"/>
        <w:rPr>
          <w:rFonts w:hint="default" w:ascii="Times New Roman" w:hAnsi="Times New Roman" w:eastAsia="方正黑体简体" w:cs="Times New Roman"/>
          <w:color w:val="auto"/>
          <w:lang w:eastAsia="zh-CN"/>
        </w:rPr>
      </w:pPr>
      <w:r>
        <w:rPr>
          <w:rFonts w:hint="eastAsia" w:eastAsia="方正黑体简体" w:cs="Times New Roman"/>
          <w:color w:val="auto"/>
          <w:lang w:val="en-US" w:eastAsia="zh-CN"/>
        </w:rPr>
        <w:t>六</w:t>
      </w:r>
      <w:r>
        <w:rPr>
          <w:rFonts w:hint="default" w:ascii="Times New Roman" w:hAnsi="Times New Roman" w:eastAsia="方正黑体简体" w:cs="Times New Roman"/>
          <w:color w:val="auto"/>
          <w:lang w:eastAsia="zh-CN"/>
        </w:rPr>
        <w:t>、组织管理</w:t>
      </w:r>
    </w:p>
    <w:p w14:paraId="154D7A05">
      <w:pPr>
        <w:keepNext w:val="0"/>
        <w:keepLines w:val="0"/>
        <w:pageBreakBefore w:val="0"/>
        <w:widowControl w:val="0"/>
        <w:kinsoku/>
        <w:wordWrap/>
        <w:overflowPunct/>
        <w:topLinePunct w:val="0"/>
        <w:autoSpaceDE/>
        <w:autoSpaceDN/>
        <w:bidi w:val="0"/>
        <w:adjustRightInd/>
        <w:snapToGrid/>
        <w:spacing w:line="560" w:lineRule="exact"/>
        <w:ind w:left="640" w:leftChars="200"/>
        <w:textAlignment w:val="auto"/>
        <w:rPr>
          <w:rFonts w:hint="default" w:ascii="Times New Roman" w:hAnsi="Times New Roman" w:eastAsia="方正楷体简体" w:cs="Times New Roman"/>
          <w:b w:val="0"/>
          <w:bCs/>
          <w:color w:val="auto"/>
        </w:rPr>
      </w:pPr>
      <w:r>
        <w:rPr>
          <w:rFonts w:hint="default" w:ascii="Times New Roman" w:hAnsi="Times New Roman" w:eastAsia="方正楷体简体" w:cs="Times New Roman"/>
          <w:b w:val="0"/>
          <w:bCs/>
          <w:color w:val="auto"/>
        </w:rPr>
        <w:t>（一）项目组成员</w:t>
      </w:r>
    </w:p>
    <w:tbl>
      <w:tblPr>
        <w:tblStyle w:val="7"/>
        <w:tblW w:w="89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3"/>
        <w:gridCol w:w="802"/>
        <w:gridCol w:w="2717"/>
        <w:gridCol w:w="4455"/>
      </w:tblGrid>
      <w:tr w14:paraId="405D11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trPr>
        <w:tc>
          <w:tcPr>
            <w:tcW w:w="1003" w:type="dxa"/>
            <w:noWrap w:val="0"/>
            <w:vAlign w:val="center"/>
          </w:tcPr>
          <w:p w14:paraId="4DBB2A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姓 名</w:t>
            </w:r>
          </w:p>
        </w:tc>
        <w:tc>
          <w:tcPr>
            <w:tcW w:w="802" w:type="dxa"/>
            <w:noWrap w:val="0"/>
            <w:vAlign w:val="center"/>
          </w:tcPr>
          <w:p w14:paraId="7077EA4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性别</w:t>
            </w:r>
          </w:p>
        </w:tc>
        <w:tc>
          <w:tcPr>
            <w:tcW w:w="2717" w:type="dxa"/>
            <w:noWrap w:val="0"/>
            <w:vAlign w:val="center"/>
          </w:tcPr>
          <w:p w14:paraId="54063A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单 位</w:t>
            </w:r>
          </w:p>
        </w:tc>
        <w:tc>
          <w:tcPr>
            <w:tcW w:w="4455" w:type="dxa"/>
            <w:noWrap w:val="0"/>
            <w:vAlign w:val="center"/>
          </w:tcPr>
          <w:p w14:paraId="3C1404D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该项目中主要承担工作</w:t>
            </w:r>
          </w:p>
        </w:tc>
      </w:tr>
      <w:tr w14:paraId="3089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003" w:type="dxa"/>
            <w:noWrap w:val="0"/>
            <w:vAlign w:val="center"/>
          </w:tcPr>
          <w:p w14:paraId="10712C0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王天一</w:t>
            </w:r>
          </w:p>
        </w:tc>
        <w:tc>
          <w:tcPr>
            <w:tcW w:w="802" w:type="dxa"/>
            <w:noWrap w:val="0"/>
            <w:vAlign w:val="center"/>
          </w:tcPr>
          <w:p w14:paraId="282FDAC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女</w:t>
            </w:r>
          </w:p>
        </w:tc>
        <w:tc>
          <w:tcPr>
            <w:tcW w:w="2717" w:type="dxa"/>
            <w:noWrap w:val="0"/>
            <w:vAlign w:val="center"/>
          </w:tcPr>
          <w:p w14:paraId="504AC30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六合区耕地质量保护站</w:t>
            </w:r>
          </w:p>
        </w:tc>
        <w:tc>
          <w:tcPr>
            <w:tcW w:w="4455" w:type="dxa"/>
            <w:noWrap w:val="0"/>
            <w:vAlign w:val="center"/>
          </w:tcPr>
          <w:p w14:paraId="5071D42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实施方案制定</w:t>
            </w:r>
            <w:r>
              <w:rPr>
                <w:rFonts w:hint="default" w:ascii="Times New Roman" w:hAnsi="Times New Roman" w:eastAsia="方正仿宋简体" w:cs="Times New Roman"/>
                <w:color w:val="auto"/>
                <w:sz w:val="24"/>
                <w:szCs w:val="24"/>
                <w:lang w:eastAsia="zh-CN"/>
              </w:rPr>
              <w:t>、</w:t>
            </w:r>
            <w:r>
              <w:rPr>
                <w:rFonts w:hint="default" w:ascii="Times New Roman" w:hAnsi="Times New Roman" w:eastAsia="方正仿宋简体" w:cs="Times New Roman"/>
                <w:color w:val="auto"/>
                <w:sz w:val="24"/>
                <w:szCs w:val="24"/>
              </w:rPr>
              <w:t>主持项目实施</w:t>
            </w:r>
          </w:p>
        </w:tc>
      </w:tr>
      <w:tr w14:paraId="5499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003" w:type="dxa"/>
            <w:noWrap w:val="0"/>
            <w:vAlign w:val="center"/>
          </w:tcPr>
          <w:p w14:paraId="18047D2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胡 娟</w:t>
            </w:r>
          </w:p>
        </w:tc>
        <w:tc>
          <w:tcPr>
            <w:tcW w:w="802" w:type="dxa"/>
            <w:noWrap w:val="0"/>
            <w:vAlign w:val="center"/>
          </w:tcPr>
          <w:p w14:paraId="2917ED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女</w:t>
            </w:r>
          </w:p>
        </w:tc>
        <w:tc>
          <w:tcPr>
            <w:tcW w:w="2717" w:type="dxa"/>
            <w:noWrap w:val="0"/>
            <w:vAlign w:val="center"/>
          </w:tcPr>
          <w:p w14:paraId="06E3EAB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六合区农业技术推广中心</w:t>
            </w:r>
          </w:p>
        </w:tc>
        <w:tc>
          <w:tcPr>
            <w:tcW w:w="4455" w:type="dxa"/>
            <w:noWrap w:val="0"/>
            <w:vAlign w:val="center"/>
          </w:tcPr>
          <w:p w14:paraId="724DCB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技术指导</w:t>
            </w:r>
          </w:p>
        </w:tc>
      </w:tr>
      <w:tr w14:paraId="595AE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1003" w:type="dxa"/>
            <w:noWrap w:val="0"/>
            <w:vAlign w:val="center"/>
          </w:tcPr>
          <w:p w14:paraId="771BDDB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戚厚芸</w:t>
            </w:r>
          </w:p>
        </w:tc>
        <w:tc>
          <w:tcPr>
            <w:tcW w:w="802" w:type="dxa"/>
            <w:noWrap w:val="0"/>
            <w:vAlign w:val="center"/>
          </w:tcPr>
          <w:p w14:paraId="33A9798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女</w:t>
            </w:r>
          </w:p>
        </w:tc>
        <w:tc>
          <w:tcPr>
            <w:tcW w:w="2717" w:type="dxa"/>
            <w:noWrap w:val="0"/>
            <w:vAlign w:val="center"/>
          </w:tcPr>
          <w:p w14:paraId="171E3BF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六合区耕地质量保护站</w:t>
            </w:r>
          </w:p>
        </w:tc>
        <w:tc>
          <w:tcPr>
            <w:tcW w:w="4455" w:type="dxa"/>
            <w:noWrap w:val="0"/>
            <w:vAlign w:val="center"/>
          </w:tcPr>
          <w:p w14:paraId="71979A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lang w:eastAsia="zh-CN"/>
              </w:rPr>
              <w:t>耕地质量监测、</w:t>
            </w:r>
            <w:r>
              <w:rPr>
                <w:rFonts w:hint="default" w:ascii="Times New Roman" w:hAnsi="Times New Roman" w:eastAsia="方正仿宋简体" w:cs="Times New Roman"/>
                <w:color w:val="auto"/>
                <w:sz w:val="24"/>
                <w:szCs w:val="24"/>
              </w:rPr>
              <w:t>档案资料整理</w:t>
            </w:r>
          </w:p>
        </w:tc>
      </w:tr>
      <w:tr w14:paraId="5A575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noWrap w:val="0"/>
            <w:vAlign w:val="center"/>
          </w:tcPr>
          <w:p w14:paraId="379AC9B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default" w:ascii="Times New Roman" w:hAnsi="Times New Roman" w:eastAsia="方正仿宋简体" w:cs="Times New Roman"/>
                <w:color w:val="auto"/>
                <w:sz w:val="24"/>
                <w:szCs w:val="24"/>
                <w:lang w:val="en-US" w:eastAsia="zh-CN"/>
              </w:rPr>
              <w:t>李胜男</w:t>
            </w:r>
          </w:p>
        </w:tc>
        <w:tc>
          <w:tcPr>
            <w:tcW w:w="802" w:type="dxa"/>
            <w:noWrap w:val="0"/>
            <w:vAlign w:val="center"/>
          </w:tcPr>
          <w:p w14:paraId="3AE769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rPr>
            </w:pPr>
            <w:r>
              <w:rPr>
                <w:rFonts w:hint="default" w:ascii="Times New Roman" w:hAnsi="Times New Roman" w:eastAsia="方正仿宋简体" w:cs="Times New Roman"/>
                <w:color w:val="auto"/>
                <w:sz w:val="24"/>
                <w:szCs w:val="24"/>
              </w:rPr>
              <w:t>女</w:t>
            </w:r>
          </w:p>
        </w:tc>
        <w:tc>
          <w:tcPr>
            <w:tcW w:w="2717" w:type="dxa"/>
            <w:noWrap w:val="0"/>
            <w:vAlign w:val="center"/>
          </w:tcPr>
          <w:p w14:paraId="202690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六合区耕地质量保护站</w:t>
            </w:r>
          </w:p>
        </w:tc>
        <w:tc>
          <w:tcPr>
            <w:tcW w:w="4455" w:type="dxa"/>
            <w:noWrap w:val="0"/>
            <w:vAlign w:val="center"/>
          </w:tcPr>
          <w:p w14:paraId="6776979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Style w:val="10"/>
                <w:rFonts w:hint="default" w:ascii="Times New Roman" w:hAnsi="Times New Roman" w:eastAsia="方正仿宋简体" w:cs="Times New Roman"/>
                <w:b w:val="0"/>
                <w:bCs w:val="0"/>
                <w:sz w:val="24"/>
                <w:szCs w:val="24"/>
                <w:lang w:val="en-US" w:eastAsia="zh-CN"/>
              </w:rPr>
              <w:t>肥情</w:t>
            </w:r>
            <w:r>
              <w:rPr>
                <w:rStyle w:val="10"/>
                <w:rFonts w:hint="default" w:ascii="Times New Roman" w:hAnsi="Times New Roman" w:eastAsia="方正仿宋简体" w:cs="Times New Roman"/>
                <w:b w:val="0"/>
                <w:bCs w:val="0"/>
                <w:sz w:val="24"/>
                <w:szCs w:val="24"/>
              </w:rPr>
              <w:t>调查</w:t>
            </w:r>
            <w:r>
              <w:rPr>
                <w:rFonts w:hint="default" w:ascii="Times New Roman" w:hAnsi="Times New Roman" w:eastAsia="方正仿宋简体" w:cs="Times New Roman"/>
                <w:color w:val="auto"/>
                <w:sz w:val="24"/>
                <w:szCs w:val="24"/>
                <w:lang w:val="en-US" w:eastAsia="zh-CN"/>
              </w:rPr>
              <w:t>、</w:t>
            </w:r>
            <w:r>
              <w:rPr>
                <w:rFonts w:hint="default" w:ascii="Times New Roman" w:hAnsi="Times New Roman" w:eastAsia="方正仿宋简体" w:cs="Times New Roman"/>
                <w:color w:val="auto"/>
                <w:sz w:val="24"/>
                <w:szCs w:val="24"/>
              </w:rPr>
              <w:t>墒情</w:t>
            </w:r>
            <w:r>
              <w:rPr>
                <w:rFonts w:hint="default" w:ascii="Times New Roman" w:hAnsi="Times New Roman" w:eastAsia="方正仿宋简体" w:cs="Times New Roman"/>
                <w:color w:val="auto"/>
                <w:sz w:val="24"/>
                <w:szCs w:val="24"/>
                <w:lang w:val="en-US" w:eastAsia="zh-CN"/>
              </w:rPr>
              <w:t>自动</w:t>
            </w:r>
            <w:r>
              <w:rPr>
                <w:rFonts w:hint="default" w:ascii="Times New Roman" w:hAnsi="Times New Roman" w:eastAsia="方正仿宋简体" w:cs="Times New Roman"/>
                <w:color w:val="auto"/>
                <w:sz w:val="24"/>
                <w:szCs w:val="24"/>
              </w:rPr>
              <w:t>监测</w:t>
            </w:r>
            <w:r>
              <w:rPr>
                <w:rFonts w:hint="default" w:ascii="Times New Roman" w:hAnsi="Times New Roman" w:eastAsia="方正仿宋简体" w:cs="Times New Roman"/>
                <w:color w:val="auto"/>
                <w:sz w:val="24"/>
                <w:szCs w:val="24"/>
                <w:lang w:val="en-US" w:eastAsia="zh-CN"/>
              </w:rPr>
              <w:t>设备</w:t>
            </w:r>
            <w:r>
              <w:rPr>
                <w:rFonts w:hint="default" w:ascii="Times New Roman" w:hAnsi="Times New Roman" w:eastAsia="方正仿宋简体" w:cs="Times New Roman"/>
                <w:color w:val="auto"/>
                <w:sz w:val="24"/>
                <w:szCs w:val="24"/>
              </w:rPr>
              <w:t>维护</w:t>
            </w:r>
          </w:p>
        </w:tc>
      </w:tr>
      <w:tr w14:paraId="131B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1003" w:type="dxa"/>
            <w:noWrap w:val="0"/>
            <w:vAlign w:val="center"/>
          </w:tcPr>
          <w:p w14:paraId="7A03B14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default" w:ascii="Times New Roman" w:hAnsi="Times New Roman" w:eastAsia="方正仿宋简体" w:cs="Times New Roman"/>
                <w:color w:val="auto"/>
                <w:sz w:val="24"/>
                <w:szCs w:val="24"/>
                <w:lang w:val="en-US" w:eastAsia="zh-CN"/>
              </w:rPr>
              <w:t>陶 玥</w:t>
            </w:r>
          </w:p>
        </w:tc>
        <w:tc>
          <w:tcPr>
            <w:tcW w:w="802" w:type="dxa"/>
            <w:shd w:val="clear" w:color="auto" w:fill="auto"/>
            <w:noWrap w:val="0"/>
            <w:vAlign w:val="center"/>
          </w:tcPr>
          <w:p w14:paraId="74208DD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女</w:t>
            </w:r>
          </w:p>
        </w:tc>
        <w:tc>
          <w:tcPr>
            <w:tcW w:w="2717" w:type="dxa"/>
            <w:shd w:val="clear" w:color="auto" w:fill="auto"/>
            <w:noWrap w:val="0"/>
            <w:vAlign w:val="center"/>
          </w:tcPr>
          <w:p w14:paraId="0E40C03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szCs w:val="24"/>
              </w:rPr>
              <w:t>六合区耕地质量保护站</w:t>
            </w:r>
          </w:p>
        </w:tc>
        <w:tc>
          <w:tcPr>
            <w:tcW w:w="4455" w:type="dxa"/>
            <w:shd w:val="clear" w:color="auto" w:fill="auto"/>
            <w:noWrap w:val="0"/>
            <w:vAlign w:val="center"/>
          </w:tcPr>
          <w:p w14:paraId="25597A3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kern w:val="2"/>
                <w:sz w:val="24"/>
                <w:szCs w:val="24"/>
                <w:lang w:val="en-US" w:eastAsia="zh-CN" w:bidi="ar-SA"/>
              </w:rPr>
            </w:pPr>
            <w:r>
              <w:rPr>
                <w:rFonts w:hint="default" w:ascii="Times New Roman" w:hAnsi="Times New Roman" w:eastAsia="方正仿宋简体" w:cs="Times New Roman"/>
                <w:color w:val="auto"/>
                <w:sz w:val="24"/>
                <w:lang w:eastAsia="zh-CN"/>
              </w:rPr>
              <w:t>农产品产地环境监测</w:t>
            </w:r>
            <w:r>
              <w:rPr>
                <w:rFonts w:hint="default" w:ascii="Times New Roman" w:hAnsi="Times New Roman" w:eastAsia="方正仿宋简体" w:cs="Times New Roman"/>
                <w:color w:val="auto"/>
                <w:sz w:val="24"/>
                <w:szCs w:val="24"/>
                <w:lang w:eastAsia="zh-CN"/>
              </w:rPr>
              <w:t>、</w:t>
            </w:r>
            <w:r>
              <w:rPr>
                <w:rFonts w:hint="default" w:ascii="Times New Roman" w:hAnsi="Times New Roman" w:eastAsia="方正仿宋简体" w:cs="Times New Roman"/>
                <w:color w:val="auto"/>
                <w:sz w:val="24"/>
                <w:szCs w:val="24"/>
                <w:lang w:val="en-US" w:eastAsia="zh-CN"/>
              </w:rPr>
              <w:t>耕地质量等级调查评价</w:t>
            </w:r>
          </w:p>
        </w:tc>
      </w:tr>
      <w:tr w14:paraId="0EB7C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shd w:val="clear" w:color="auto" w:fill="auto"/>
            <w:noWrap w:val="0"/>
            <w:vAlign w:val="center"/>
          </w:tcPr>
          <w:p w14:paraId="0CB1E4C4">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24"/>
                <w:highlight w:val="none"/>
                <w:lang w:val="en-US" w:eastAsia="zh-CN" w:bidi="ar-SA"/>
              </w:rPr>
            </w:pPr>
            <w:r>
              <w:rPr>
                <w:rFonts w:hint="default" w:ascii="Times New Roman" w:hAnsi="Times New Roman" w:eastAsia="方正仿宋简体" w:cs="Times New Roman"/>
                <w:color w:val="000000"/>
                <w:sz w:val="24"/>
                <w:highlight w:val="none"/>
                <w:lang w:eastAsia="zh-CN"/>
              </w:rPr>
              <w:t>余慧杰</w:t>
            </w:r>
          </w:p>
        </w:tc>
        <w:tc>
          <w:tcPr>
            <w:tcW w:w="802" w:type="dxa"/>
            <w:shd w:val="clear" w:color="auto" w:fill="auto"/>
            <w:noWrap w:val="0"/>
            <w:vAlign w:val="center"/>
          </w:tcPr>
          <w:p w14:paraId="7FADA9DE">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24"/>
                <w:highlight w:val="none"/>
                <w:lang w:val="en-US" w:eastAsia="zh-CN" w:bidi="ar-SA"/>
              </w:rPr>
            </w:pPr>
            <w:r>
              <w:rPr>
                <w:rFonts w:hint="default" w:ascii="Times New Roman" w:hAnsi="Times New Roman" w:eastAsia="方正仿宋简体" w:cs="Times New Roman"/>
                <w:color w:val="000000"/>
                <w:sz w:val="24"/>
                <w:highlight w:val="none"/>
                <w:lang w:eastAsia="zh-CN"/>
              </w:rPr>
              <w:t>女</w:t>
            </w:r>
          </w:p>
        </w:tc>
        <w:tc>
          <w:tcPr>
            <w:tcW w:w="2717" w:type="dxa"/>
            <w:shd w:val="clear" w:color="auto" w:fill="auto"/>
            <w:noWrap w:val="0"/>
            <w:vAlign w:val="center"/>
          </w:tcPr>
          <w:p w14:paraId="5A74D99E">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方正仿宋简体" w:cs="Times New Roman"/>
                <w:color w:val="000000"/>
                <w:kern w:val="2"/>
                <w:sz w:val="24"/>
                <w:szCs w:val="24"/>
                <w:highlight w:val="none"/>
                <w:lang w:val="en-US" w:eastAsia="zh-CN" w:bidi="ar-SA"/>
              </w:rPr>
            </w:pPr>
            <w:r>
              <w:rPr>
                <w:rFonts w:hint="default" w:ascii="Times New Roman" w:hAnsi="Times New Roman" w:eastAsia="方正仿宋简体" w:cs="Times New Roman"/>
                <w:color w:val="000000"/>
                <w:sz w:val="24"/>
                <w:highlight w:val="none"/>
                <w:lang w:eastAsia="zh-CN"/>
              </w:rPr>
              <w:t>六合区</w:t>
            </w:r>
            <w:r>
              <w:rPr>
                <w:rFonts w:hint="eastAsia" w:eastAsia="方正仿宋简体" w:cs="Times New Roman"/>
                <w:color w:val="000000"/>
                <w:sz w:val="24"/>
                <w:highlight w:val="none"/>
                <w:lang w:val="en-US" w:eastAsia="zh-CN"/>
              </w:rPr>
              <w:t>农业技术推广中心</w:t>
            </w:r>
          </w:p>
        </w:tc>
        <w:tc>
          <w:tcPr>
            <w:tcW w:w="4455" w:type="dxa"/>
            <w:shd w:val="clear" w:color="auto" w:fill="auto"/>
            <w:noWrap w:val="0"/>
            <w:vAlign w:val="center"/>
          </w:tcPr>
          <w:p w14:paraId="1936C750">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24"/>
                <w:highlight w:val="none"/>
                <w:lang w:val="en-US" w:eastAsia="zh-CN" w:bidi="ar-SA"/>
              </w:rPr>
            </w:pPr>
            <w:r>
              <w:rPr>
                <w:rFonts w:hint="eastAsia" w:eastAsia="方正仿宋简体" w:cs="Times New Roman"/>
                <w:color w:val="000000"/>
                <w:sz w:val="24"/>
                <w:highlight w:val="none"/>
                <w:lang w:val="en-US" w:eastAsia="zh-CN"/>
              </w:rPr>
              <w:t>技术指导</w:t>
            </w:r>
          </w:p>
        </w:tc>
      </w:tr>
      <w:tr w14:paraId="2EE2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shd w:val="clear" w:color="auto" w:fill="auto"/>
            <w:noWrap w:val="0"/>
            <w:vAlign w:val="center"/>
          </w:tcPr>
          <w:p w14:paraId="37FF85A3">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方正仿宋简体" w:cs="Times New Roman"/>
                <w:color w:val="000000"/>
                <w:sz w:val="24"/>
                <w:highlight w:val="none"/>
                <w:lang w:val="en-US" w:eastAsia="zh-CN"/>
              </w:rPr>
            </w:pPr>
            <w:r>
              <w:rPr>
                <w:rFonts w:hint="eastAsia" w:ascii="Times New Roman" w:hAnsi="Times New Roman" w:eastAsia="方正仿宋简体" w:cs="Times New Roman"/>
                <w:color w:val="000000"/>
                <w:sz w:val="24"/>
                <w:highlight w:val="none"/>
                <w:lang w:val="en-US" w:eastAsia="zh-CN"/>
              </w:rPr>
              <w:t>高 峰</w:t>
            </w:r>
          </w:p>
        </w:tc>
        <w:tc>
          <w:tcPr>
            <w:tcW w:w="802" w:type="dxa"/>
            <w:shd w:val="clear" w:color="auto" w:fill="auto"/>
            <w:noWrap w:val="0"/>
            <w:vAlign w:val="center"/>
          </w:tcPr>
          <w:p w14:paraId="2D5A8A24">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方正仿宋简体" w:cs="Times New Roman"/>
                <w:color w:val="000000"/>
                <w:sz w:val="24"/>
                <w:highlight w:val="none"/>
                <w:lang w:val="en-US" w:eastAsia="zh-CN"/>
              </w:rPr>
            </w:pPr>
            <w:r>
              <w:rPr>
                <w:rFonts w:hint="eastAsia" w:ascii="Times New Roman" w:hAnsi="Times New Roman" w:eastAsia="方正仿宋简体" w:cs="Times New Roman"/>
                <w:color w:val="000000"/>
                <w:sz w:val="24"/>
                <w:highlight w:val="none"/>
                <w:lang w:val="en-US" w:eastAsia="zh-CN"/>
              </w:rPr>
              <w:t>女</w:t>
            </w:r>
          </w:p>
        </w:tc>
        <w:tc>
          <w:tcPr>
            <w:tcW w:w="2717" w:type="dxa"/>
            <w:shd w:val="clear" w:color="auto" w:fill="auto"/>
            <w:noWrap w:val="0"/>
            <w:vAlign w:val="center"/>
          </w:tcPr>
          <w:p w14:paraId="45C62913">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方正仿宋简体" w:cs="Times New Roman"/>
                <w:color w:val="000000"/>
                <w:sz w:val="24"/>
                <w:highlight w:val="none"/>
                <w:lang w:eastAsia="zh-CN"/>
              </w:rPr>
            </w:pPr>
            <w:r>
              <w:rPr>
                <w:rFonts w:hint="default" w:ascii="Times New Roman" w:hAnsi="Times New Roman" w:eastAsia="方正仿宋简体" w:cs="Times New Roman"/>
                <w:color w:val="000000"/>
                <w:sz w:val="24"/>
                <w:highlight w:val="none"/>
                <w:lang w:eastAsia="zh-CN"/>
              </w:rPr>
              <w:t>六合区</w:t>
            </w:r>
            <w:r>
              <w:rPr>
                <w:rFonts w:hint="eastAsia" w:eastAsia="方正仿宋简体" w:cs="Times New Roman"/>
                <w:color w:val="000000"/>
                <w:sz w:val="24"/>
                <w:highlight w:val="none"/>
                <w:lang w:val="en-US" w:eastAsia="zh-CN"/>
              </w:rPr>
              <w:t>农业技术推广中心</w:t>
            </w:r>
          </w:p>
        </w:tc>
        <w:tc>
          <w:tcPr>
            <w:tcW w:w="4455" w:type="dxa"/>
            <w:shd w:val="clear" w:color="auto" w:fill="auto"/>
            <w:noWrap w:val="0"/>
            <w:vAlign w:val="center"/>
          </w:tcPr>
          <w:p w14:paraId="6E1C6D7A">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eastAsia="方正仿宋简体" w:cs="Times New Roman"/>
                <w:color w:val="000000"/>
                <w:sz w:val="24"/>
                <w:highlight w:val="none"/>
                <w:lang w:val="en-US" w:eastAsia="zh-CN"/>
              </w:rPr>
            </w:pPr>
            <w:r>
              <w:rPr>
                <w:rFonts w:hint="eastAsia" w:eastAsia="方正仿宋简体" w:cs="Times New Roman"/>
                <w:color w:val="000000"/>
                <w:sz w:val="24"/>
                <w:highlight w:val="none"/>
                <w:lang w:val="en-US" w:eastAsia="zh-CN"/>
              </w:rPr>
              <w:t>技术指导</w:t>
            </w:r>
          </w:p>
        </w:tc>
      </w:tr>
      <w:tr w14:paraId="5D9C4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shd w:val="clear" w:color="auto" w:fill="auto"/>
            <w:noWrap w:val="0"/>
            <w:vAlign w:val="center"/>
          </w:tcPr>
          <w:p w14:paraId="1156840E">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32"/>
                <w:highlight w:val="none"/>
                <w:lang w:val="en-US" w:eastAsia="zh-CN" w:bidi="ar-SA"/>
              </w:rPr>
            </w:pPr>
            <w:r>
              <w:rPr>
                <w:rFonts w:hint="default" w:ascii="Times New Roman" w:hAnsi="Times New Roman" w:eastAsia="方正仿宋简体" w:cs="Times New Roman"/>
                <w:color w:val="000000"/>
                <w:sz w:val="24"/>
                <w:highlight w:val="none"/>
                <w:lang w:eastAsia="zh-CN"/>
              </w:rPr>
              <w:t>陈玉金</w:t>
            </w:r>
          </w:p>
        </w:tc>
        <w:tc>
          <w:tcPr>
            <w:tcW w:w="802" w:type="dxa"/>
            <w:shd w:val="clear" w:color="auto" w:fill="auto"/>
            <w:noWrap w:val="0"/>
            <w:vAlign w:val="center"/>
          </w:tcPr>
          <w:p w14:paraId="3D9E9E96">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32"/>
                <w:highlight w:val="none"/>
                <w:lang w:val="en-US" w:eastAsia="zh-CN" w:bidi="ar-SA"/>
              </w:rPr>
            </w:pPr>
            <w:r>
              <w:rPr>
                <w:rFonts w:hint="eastAsia" w:eastAsia="方正仿宋简体" w:cs="Times New Roman"/>
                <w:color w:val="000000"/>
                <w:sz w:val="24"/>
                <w:highlight w:val="none"/>
                <w:lang w:val="en-US" w:eastAsia="zh-CN"/>
              </w:rPr>
              <w:t>男</w:t>
            </w:r>
          </w:p>
        </w:tc>
        <w:tc>
          <w:tcPr>
            <w:tcW w:w="2717" w:type="dxa"/>
            <w:shd w:val="clear" w:color="auto" w:fill="auto"/>
            <w:noWrap w:val="0"/>
            <w:vAlign w:val="center"/>
          </w:tcPr>
          <w:p w14:paraId="6E8E8386">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default" w:ascii="Times New Roman" w:hAnsi="Times New Roman" w:eastAsia="方正仿宋简体" w:cs="Times New Roman"/>
                <w:color w:val="000000"/>
                <w:kern w:val="2"/>
                <w:sz w:val="24"/>
                <w:szCs w:val="32"/>
                <w:highlight w:val="none"/>
                <w:lang w:val="en-US" w:eastAsia="zh-CN" w:bidi="ar-SA"/>
              </w:rPr>
            </w:pPr>
            <w:r>
              <w:rPr>
                <w:rFonts w:hint="default" w:ascii="Times New Roman" w:hAnsi="Times New Roman" w:eastAsia="方正仿宋简体" w:cs="Times New Roman"/>
                <w:color w:val="000000"/>
                <w:sz w:val="24"/>
                <w:highlight w:val="none"/>
                <w:lang w:eastAsia="zh-CN"/>
              </w:rPr>
              <w:t xml:space="preserve">六合区农业综合行政执法大队 </w:t>
            </w:r>
          </w:p>
        </w:tc>
        <w:tc>
          <w:tcPr>
            <w:tcW w:w="4455" w:type="dxa"/>
            <w:shd w:val="clear" w:color="auto" w:fill="auto"/>
            <w:noWrap w:val="0"/>
            <w:vAlign w:val="center"/>
          </w:tcPr>
          <w:p w14:paraId="41414C12">
            <w:pPr>
              <w:keepNext w:val="0"/>
              <w:keepLines w:val="0"/>
              <w:pageBreakBefore w:val="0"/>
              <w:widowControl w:val="0"/>
              <w:kinsoku/>
              <w:wordWrap/>
              <w:overflowPunct/>
              <w:topLinePunct w:val="0"/>
              <w:autoSpaceDE/>
              <w:autoSpaceDN/>
              <w:bidi w:val="0"/>
              <w:adjustRightInd/>
              <w:snapToGrid/>
              <w:spacing w:beforeAutospacing="0" w:afterAutospacing="0" w:line="320" w:lineRule="exact"/>
              <w:jc w:val="center"/>
              <w:textAlignment w:val="auto"/>
              <w:rPr>
                <w:rFonts w:hint="eastAsia" w:ascii="Times New Roman" w:hAnsi="Times New Roman" w:eastAsia="方正仿宋简体" w:cs="Times New Roman"/>
                <w:color w:val="000000"/>
                <w:kern w:val="2"/>
                <w:sz w:val="24"/>
                <w:szCs w:val="32"/>
                <w:highlight w:val="none"/>
                <w:lang w:val="en-US" w:eastAsia="zh-CN" w:bidi="ar-SA"/>
              </w:rPr>
            </w:pPr>
            <w:r>
              <w:rPr>
                <w:rFonts w:hint="eastAsia" w:eastAsia="方正仿宋简体" w:cs="Times New Roman"/>
                <w:color w:val="000000"/>
                <w:sz w:val="24"/>
                <w:highlight w:val="none"/>
                <w:lang w:val="en-US" w:eastAsia="zh-CN"/>
              </w:rPr>
              <w:t>技术指导</w:t>
            </w:r>
          </w:p>
        </w:tc>
      </w:tr>
      <w:tr w14:paraId="4745E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noWrap w:val="0"/>
            <w:vAlign w:val="center"/>
          </w:tcPr>
          <w:p w14:paraId="1E2166C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朱世祥</w:t>
            </w:r>
          </w:p>
        </w:tc>
        <w:tc>
          <w:tcPr>
            <w:tcW w:w="802" w:type="dxa"/>
            <w:shd w:val="clear" w:color="auto" w:fill="auto"/>
            <w:noWrap w:val="0"/>
            <w:vAlign w:val="center"/>
          </w:tcPr>
          <w:p w14:paraId="028E75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男</w:t>
            </w:r>
          </w:p>
        </w:tc>
        <w:tc>
          <w:tcPr>
            <w:tcW w:w="2717" w:type="dxa"/>
            <w:shd w:val="clear" w:color="auto" w:fill="auto"/>
            <w:noWrap w:val="0"/>
            <w:vAlign w:val="center"/>
          </w:tcPr>
          <w:p w14:paraId="5E1B50C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简体" w:cs="Times New Roman"/>
                <w:color w:val="auto"/>
                <w:sz w:val="24"/>
                <w:szCs w:val="24"/>
                <w:lang w:val="en-US" w:eastAsia="zh-CN"/>
              </w:rPr>
            </w:pPr>
            <w:r>
              <w:rPr>
                <w:rFonts w:hint="default" w:ascii="Times New Roman" w:hAnsi="Times New Roman" w:eastAsia="方正仿宋简体" w:cs="Times New Roman"/>
                <w:color w:val="000000"/>
                <w:sz w:val="24"/>
                <w:highlight w:val="none"/>
              </w:rPr>
              <w:t>马鞍街道农业服务中心</w:t>
            </w:r>
          </w:p>
        </w:tc>
        <w:tc>
          <w:tcPr>
            <w:tcW w:w="4455" w:type="dxa"/>
            <w:shd w:val="clear" w:color="auto" w:fill="auto"/>
            <w:noWrap w:val="0"/>
            <w:vAlign w:val="center"/>
          </w:tcPr>
          <w:p w14:paraId="759D071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lang w:val="en-US" w:eastAsia="zh-CN"/>
              </w:rPr>
            </w:pPr>
            <w:r>
              <w:rPr>
                <w:rFonts w:hint="eastAsia" w:eastAsia="方正仿宋简体" w:cs="Times New Roman"/>
                <w:color w:val="auto"/>
                <w:sz w:val="24"/>
                <w:lang w:val="en-US" w:eastAsia="zh-CN"/>
              </w:rPr>
              <w:t>化肥减量增效展示区建设</w:t>
            </w:r>
          </w:p>
        </w:tc>
      </w:tr>
      <w:tr w14:paraId="7D218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trPr>
        <w:tc>
          <w:tcPr>
            <w:tcW w:w="1003" w:type="dxa"/>
            <w:noWrap w:val="0"/>
            <w:vAlign w:val="center"/>
          </w:tcPr>
          <w:p w14:paraId="18F465D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汤云霞</w:t>
            </w:r>
          </w:p>
        </w:tc>
        <w:tc>
          <w:tcPr>
            <w:tcW w:w="802" w:type="dxa"/>
            <w:shd w:val="clear" w:color="auto" w:fill="auto"/>
            <w:noWrap w:val="0"/>
            <w:vAlign w:val="center"/>
          </w:tcPr>
          <w:p w14:paraId="608E672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Times New Roman" w:hAnsi="Times New Roman" w:eastAsia="方正仿宋简体" w:cs="Times New Roman"/>
                <w:color w:val="auto"/>
                <w:sz w:val="24"/>
                <w:szCs w:val="24"/>
                <w:lang w:val="en-US" w:eastAsia="zh-CN"/>
              </w:rPr>
            </w:pPr>
            <w:r>
              <w:rPr>
                <w:rFonts w:hint="eastAsia" w:eastAsia="方正仿宋简体" w:cs="Times New Roman"/>
                <w:color w:val="auto"/>
                <w:sz w:val="24"/>
                <w:szCs w:val="24"/>
                <w:lang w:val="en-US" w:eastAsia="zh-CN"/>
              </w:rPr>
              <w:t>女</w:t>
            </w:r>
          </w:p>
        </w:tc>
        <w:tc>
          <w:tcPr>
            <w:tcW w:w="2717" w:type="dxa"/>
            <w:shd w:val="clear" w:color="auto" w:fill="auto"/>
            <w:noWrap w:val="0"/>
            <w:vAlign w:val="center"/>
          </w:tcPr>
          <w:p w14:paraId="23C70E98">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szCs w:val="24"/>
                <w:lang w:val="en-US" w:eastAsia="zh-CN"/>
              </w:rPr>
            </w:pPr>
            <w:r>
              <w:rPr>
                <w:rFonts w:hint="default" w:ascii="Times New Roman" w:hAnsi="Times New Roman" w:eastAsia="方正仿宋简体" w:cs="Times New Roman"/>
                <w:color w:val="000000"/>
                <w:sz w:val="24"/>
                <w:highlight w:val="none"/>
                <w:lang w:eastAsia="zh-CN"/>
              </w:rPr>
              <w:t>金牛湖</w:t>
            </w:r>
            <w:r>
              <w:rPr>
                <w:rFonts w:hint="default" w:ascii="Times New Roman" w:hAnsi="Times New Roman" w:eastAsia="方正仿宋简体" w:cs="Times New Roman"/>
                <w:color w:val="000000"/>
                <w:sz w:val="24"/>
                <w:highlight w:val="none"/>
              </w:rPr>
              <w:t>街道农业服务中心</w:t>
            </w:r>
          </w:p>
        </w:tc>
        <w:tc>
          <w:tcPr>
            <w:tcW w:w="4455" w:type="dxa"/>
            <w:shd w:val="clear" w:color="auto" w:fill="auto"/>
            <w:noWrap w:val="0"/>
            <w:vAlign w:val="center"/>
          </w:tcPr>
          <w:p w14:paraId="50EB5B5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Times New Roman" w:hAnsi="Times New Roman" w:eastAsia="方正仿宋简体" w:cs="Times New Roman"/>
                <w:color w:val="auto"/>
                <w:sz w:val="24"/>
                <w:lang w:eastAsia="zh-CN"/>
              </w:rPr>
            </w:pPr>
            <w:r>
              <w:rPr>
                <w:rFonts w:hint="eastAsia" w:eastAsia="方正仿宋简体" w:cs="Times New Roman"/>
                <w:color w:val="auto"/>
                <w:sz w:val="24"/>
                <w:lang w:val="en-US" w:eastAsia="zh-CN"/>
              </w:rPr>
              <w:t>化肥减量增效展示区建设</w:t>
            </w:r>
          </w:p>
        </w:tc>
      </w:tr>
    </w:tbl>
    <w:p w14:paraId="504B8A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lang w:val="en-US"/>
        </w:rPr>
      </w:pPr>
      <w:r>
        <w:rPr>
          <w:rFonts w:hint="default" w:ascii="Times New Roman" w:hAnsi="Times New Roman" w:eastAsia="方正楷体简体" w:cs="Times New Roman"/>
          <w:b w:val="0"/>
          <w:bCs/>
          <w:color w:val="auto"/>
          <w:lang w:eastAsia="zh-CN"/>
        </w:rPr>
        <w:t>（</w:t>
      </w:r>
      <w:r>
        <w:rPr>
          <w:rFonts w:hint="default" w:ascii="Times New Roman" w:hAnsi="Times New Roman" w:eastAsia="方正楷体简体" w:cs="Times New Roman"/>
          <w:b w:val="0"/>
          <w:bCs/>
          <w:color w:val="auto"/>
          <w:lang w:val="en-US" w:eastAsia="zh-CN"/>
        </w:rPr>
        <w:t>二</w:t>
      </w:r>
      <w:r>
        <w:rPr>
          <w:rFonts w:hint="default" w:ascii="Times New Roman" w:hAnsi="Times New Roman" w:eastAsia="方正楷体简体" w:cs="Times New Roman"/>
          <w:b w:val="0"/>
          <w:bCs/>
          <w:color w:val="auto"/>
          <w:lang w:eastAsia="zh-CN"/>
        </w:rPr>
        <w:t>）</w:t>
      </w:r>
      <w:r>
        <w:rPr>
          <w:rFonts w:hint="eastAsia" w:eastAsia="方正楷体简体" w:cs="Times New Roman"/>
          <w:b w:val="0"/>
          <w:bCs/>
          <w:color w:val="auto"/>
          <w:lang w:val="en-US" w:eastAsia="zh-CN"/>
        </w:rPr>
        <w:t>管理负责</w:t>
      </w:r>
      <w:r>
        <w:rPr>
          <w:rFonts w:hint="default" w:ascii="Times New Roman" w:hAnsi="Times New Roman" w:eastAsia="方正楷体简体" w:cs="Times New Roman"/>
          <w:b w:val="0"/>
          <w:bCs/>
          <w:color w:val="auto"/>
        </w:rPr>
        <w:t>人：</w:t>
      </w:r>
      <w:r>
        <w:rPr>
          <w:rFonts w:hint="default" w:ascii="Times New Roman" w:hAnsi="Times New Roman" w:eastAsia="方正仿宋简体" w:cs="Times New Roman"/>
          <w:color w:val="auto"/>
          <w:sz w:val="32"/>
          <w:szCs w:val="32"/>
          <w:lang w:val="en-US" w:eastAsia="zh-CN"/>
        </w:rPr>
        <w:t>陈朝兵</w:t>
      </w:r>
      <w:r>
        <w:rPr>
          <w:rFonts w:hint="default" w:ascii="Times New Roman" w:hAnsi="Times New Roman" w:eastAsia="方正仿宋简体" w:cs="Times New Roman"/>
          <w:color w:val="auto"/>
          <w:sz w:val="32"/>
          <w:szCs w:val="32"/>
        </w:rPr>
        <w:t xml:space="preserve">  </w:t>
      </w:r>
    </w:p>
    <w:p w14:paraId="1668C8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楷体简体" w:cs="Times New Roman"/>
          <w:b w:val="0"/>
          <w:bCs/>
          <w:color w:val="auto"/>
        </w:rPr>
      </w:pPr>
      <w:r>
        <w:rPr>
          <w:rFonts w:hint="default" w:ascii="Times New Roman" w:hAnsi="Times New Roman" w:eastAsia="方正楷体简体" w:cs="Times New Roman"/>
          <w:b w:val="0"/>
          <w:bCs/>
          <w:color w:val="auto"/>
        </w:rPr>
        <w:t>（三）保障措施</w:t>
      </w:r>
    </w:p>
    <w:p w14:paraId="0BEAD98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b w:val="0"/>
          <w:bCs w:val="0"/>
          <w:color w:val="auto"/>
          <w:sz w:val="32"/>
          <w:szCs w:val="32"/>
        </w:rPr>
        <w:t>1</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rPr>
        <w:t>明确责任分工。</w:t>
      </w:r>
      <w:r>
        <w:rPr>
          <w:rFonts w:hint="default" w:ascii="Times New Roman" w:hAnsi="Times New Roman" w:eastAsia="方正仿宋简体" w:cs="Times New Roman"/>
          <w:spacing w:val="-6"/>
          <w:sz w:val="32"/>
          <w:szCs w:val="32"/>
        </w:rPr>
        <w:t>根据项目实施内容，</w:t>
      </w:r>
      <w:r>
        <w:rPr>
          <w:rFonts w:hint="default" w:ascii="Times New Roman" w:hAnsi="Times New Roman" w:eastAsia="方正仿宋简体" w:cs="Times New Roman"/>
          <w:spacing w:val="-6"/>
          <w:sz w:val="32"/>
          <w:szCs w:val="32"/>
          <w:lang w:eastAsia="zh-CN"/>
        </w:rPr>
        <w:t>压</w:t>
      </w:r>
      <w:r>
        <w:rPr>
          <w:rFonts w:hint="default" w:ascii="Times New Roman" w:hAnsi="Times New Roman" w:eastAsia="方正仿宋简体" w:cs="Times New Roman"/>
          <w:spacing w:val="-6"/>
          <w:sz w:val="32"/>
          <w:szCs w:val="32"/>
        </w:rPr>
        <w:t>实责任分工</w:t>
      </w:r>
      <w:r>
        <w:rPr>
          <w:rFonts w:hint="default" w:ascii="Times New Roman" w:hAnsi="Times New Roman" w:eastAsia="方正仿宋简体" w:cs="Times New Roman"/>
          <w:color w:val="auto"/>
          <w:sz w:val="32"/>
          <w:szCs w:val="32"/>
        </w:rPr>
        <w:t>，做好沟通协调，</w:t>
      </w:r>
      <w:r>
        <w:rPr>
          <w:rFonts w:hint="default" w:ascii="Times New Roman" w:hAnsi="Times New Roman" w:eastAsia="方正仿宋简体" w:cs="Times New Roman"/>
          <w:color w:val="auto"/>
          <w:sz w:val="32"/>
          <w:szCs w:val="32"/>
          <w:lang w:val="en-US" w:eastAsia="zh-CN"/>
        </w:rPr>
        <w:t>确保按时保质</w:t>
      </w:r>
      <w:r>
        <w:rPr>
          <w:rFonts w:hint="default" w:ascii="Times New Roman" w:hAnsi="Times New Roman" w:eastAsia="方正仿宋简体" w:cs="Times New Roman"/>
          <w:color w:val="auto"/>
          <w:sz w:val="32"/>
          <w:szCs w:val="32"/>
        </w:rPr>
        <w:t>完成</w:t>
      </w:r>
      <w:r>
        <w:rPr>
          <w:rFonts w:hint="eastAsia" w:eastAsia="方正仿宋简体" w:cs="Times New Roman"/>
          <w:color w:val="auto"/>
          <w:sz w:val="32"/>
          <w:szCs w:val="32"/>
          <w:lang w:val="en-US" w:eastAsia="zh-CN"/>
        </w:rPr>
        <w:t>化肥减量增效和</w:t>
      </w:r>
      <w:r>
        <w:rPr>
          <w:rFonts w:hint="default" w:ascii="Times New Roman" w:hAnsi="Times New Roman" w:eastAsia="方正仿宋简体" w:cs="Times New Roman"/>
          <w:color w:val="auto"/>
          <w:kern w:val="0"/>
          <w:sz w:val="32"/>
          <w:szCs w:val="32"/>
          <w:lang w:bidi="ar"/>
        </w:rPr>
        <w:t>耕地质量监测评价</w:t>
      </w:r>
      <w:r>
        <w:rPr>
          <w:rFonts w:hint="default" w:ascii="Times New Roman" w:hAnsi="Times New Roman" w:eastAsia="方正仿宋简体" w:cs="Times New Roman"/>
          <w:color w:val="auto"/>
          <w:kern w:val="0"/>
          <w:sz w:val="32"/>
          <w:szCs w:val="32"/>
          <w:lang w:val="en-US" w:eastAsia="zh-CN" w:bidi="ar"/>
        </w:rPr>
        <w:t>相关任务</w:t>
      </w:r>
      <w:r>
        <w:rPr>
          <w:rFonts w:hint="default" w:ascii="Times New Roman" w:hAnsi="Times New Roman" w:eastAsia="方正仿宋简体" w:cs="Times New Roman"/>
          <w:color w:val="auto"/>
          <w:sz w:val="32"/>
          <w:szCs w:val="32"/>
        </w:rPr>
        <w:t>。</w:t>
      </w:r>
    </w:p>
    <w:p w14:paraId="2B37980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b w:val="0"/>
          <w:bCs w:val="0"/>
          <w:color w:val="auto"/>
          <w:sz w:val="32"/>
          <w:szCs w:val="32"/>
          <w:lang w:val="en-US" w:eastAsia="zh-CN"/>
        </w:rPr>
        <w:t>2.</w:t>
      </w:r>
      <w:r>
        <w:rPr>
          <w:rFonts w:hint="default" w:ascii="Times New Roman" w:hAnsi="Times New Roman" w:eastAsia="方正仿宋简体" w:cs="Times New Roman"/>
          <w:b w:val="0"/>
          <w:bCs w:val="0"/>
          <w:color w:val="auto"/>
          <w:sz w:val="32"/>
          <w:szCs w:val="32"/>
        </w:rPr>
        <w:t>规范项目实施。</w:t>
      </w:r>
      <w:r>
        <w:rPr>
          <w:rFonts w:hint="default" w:ascii="Times New Roman" w:hAnsi="Times New Roman" w:eastAsia="方正仿宋简体" w:cs="Times New Roman"/>
          <w:color w:val="auto"/>
          <w:sz w:val="32"/>
          <w:szCs w:val="32"/>
          <w:lang w:val="en-US" w:eastAsia="zh-CN"/>
        </w:rPr>
        <w:t>强化对省级监测点和墒情监测站维修维护工作的监督管理；</w:t>
      </w:r>
      <w:r>
        <w:rPr>
          <w:rFonts w:hint="default" w:ascii="Times New Roman" w:hAnsi="Times New Roman" w:eastAsia="方正仿宋简体" w:cs="Times New Roman"/>
          <w:color w:val="auto"/>
          <w:sz w:val="32"/>
          <w:szCs w:val="32"/>
        </w:rPr>
        <w:t>加强</w:t>
      </w:r>
      <w:r>
        <w:rPr>
          <w:rFonts w:hint="default" w:ascii="Times New Roman" w:hAnsi="Times New Roman" w:eastAsia="方正仿宋简体" w:cs="Times New Roman"/>
          <w:color w:val="auto"/>
          <w:sz w:val="32"/>
          <w:szCs w:val="32"/>
          <w:lang w:eastAsia="zh-CN"/>
        </w:rPr>
        <w:t>农产品</w:t>
      </w:r>
      <w:r>
        <w:rPr>
          <w:rFonts w:hint="default" w:ascii="Times New Roman" w:hAnsi="Times New Roman" w:eastAsia="方正仿宋简体" w:cs="Times New Roman"/>
          <w:color w:val="auto"/>
          <w:sz w:val="32"/>
          <w:szCs w:val="32"/>
        </w:rPr>
        <w:t>样品检测数据审核，</w:t>
      </w:r>
      <w:r>
        <w:rPr>
          <w:rFonts w:hint="default" w:ascii="Times New Roman" w:hAnsi="Times New Roman" w:eastAsia="方正仿宋简体" w:cs="Times New Roman"/>
          <w:color w:val="auto"/>
          <w:sz w:val="32"/>
          <w:szCs w:val="32"/>
          <w:lang w:val="en-US" w:eastAsia="zh-CN"/>
        </w:rPr>
        <w:t>及时</w:t>
      </w:r>
      <w:r>
        <w:rPr>
          <w:rFonts w:hint="default" w:ascii="Times New Roman" w:hAnsi="Times New Roman" w:eastAsia="方正仿宋简体" w:cs="Times New Roman"/>
          <w:color w:val="auto"/>
          <w:sz w:val="32"/>
          <w:szCs w:val="32"/>
          <w:lang w:eastAsia="zh-CN"/>
        </w:rPr>
        <w:t>形成监测分析评价报告</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各街镇要</w:t>
      </w:r>
      <w:r>
        <w:rPr>
          <w:rFonts w:hint="default" w:ascii="Times New Roman" w:hAnsi="Times New Roman" w:eastAsia="方正仿宋简体" w:cs="Times New Roman"/>
          <w:color w:val="auto"/>
          <w:sz w:val="32"/>
          <w:szCs w:val="32"/>
        </w:rPr>
        <w:t>明确专人负责监测点相关工作，</w:t>
      </w:r>
      <w:r>
        <w:rPr>
          <w:rFonts w:hint="default" w:ascii="Times New Roman" w:hAnsi="Times New Roman" w:eastAsia="方正仿宋简体" w:cs="Times New Roman"/>
          <w:color w:val="auto"/>
          <w:sz w:val="32"/>
          <w:szCs w:val="32"/>
          <w:lang w:eastAsia="zh-CN"/>
        </w:rPr>
        <w:t>将</w:t>
      </w:r>
      <w:r>
        <w:rPr>
          <w:rFonts w:hint="default" w:ascii="Times New Roman" w:hAnsi="Times New Roman" w:eastAsia="方正仿宋简体" w:cs="Times New Roman"/>
          <w:color w:val="auto"/>
          <w:sz w:val="32"/>
          <w:szCs w:val="32"/>
        </w:rPr>
        <w:t>监测工作真正落到实处</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严格</w:t>
      </w:r>
      <w:r>
        <w:rPr>
          <w:rFonts w:hint="default" w:ascii="Times New Roman" w:hAnsi="Times New Roman" w:eastAsia="方正仿宋简体" w:cs="Times New Roman"/>
          <w:color w:val="auto"/>
          <w:sz w:val="32"/>
          <w:szCs w:val="32"/>
        </w:rPr>
        <w:t>按</w:t>
      </w:r>
      <w:r>
        <w:rPr>
          <w:rFonts w:hint="default" w:ascii="Times New Roman" w:hAnsi="Times New Roman" w:eastAsia="方正仿宋简体" w:cs="Times New Roman"/>
          <w:color w:val="auto"/>
          <w:sz w:val="32"/>
          <w:szCs w:val="32"/>
          <w:lang w:val="en-US" w:eastAsia="zh-CN"/>
        </w:rPr>
        <w:t>照</w:t>
      </w:r>
      <w:r>
        <w:rPr>
          <w:rFonts w:hint="default" w:ascii="Times New Roman" w:hAnsi="Times New Roman" w:eastAsia="方正仿宋简体" w:cs="Times New Roman"/>
          <w:color w:val="auto"/>
          <w:sz w:val="32"/>
          <w:szCs w:val="32"/>
        </w:rPr>
        <w:t>项目序时进度完成方案中各项任务。</w:t>
      </w:r>
    </w:p>
    <w:p w14:paraId="60EEBE54">
      <w:pPr>
        <w:keepNext w:val="0"/>
        <w:keepLines w:val="0"/>
        <w:spacing w:line="560" w:lineRule="exact"/>
        <w:ind w:firstLine="640" w:firstLineChars="200"/>
        <w:rPr>
          <w:rFonts w:hint="eastAsia"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b w:val="0"/>
          <w:bCs w:val="0"/>
          <w:color w:val="auto"/>
          <w:sz w:val="32"/>
          <w:szCs w:val="32"/>
          <w:lang w:val="en-US" w:eastAsia="zh-CN"/>
        </w:rPr>
        <w:t>3.</w:t>
      </w:r>
      <w:r>
        <w:rPr>
          <w:rFonts w:hint="default" w:ascii="Times New Roman" w:hAnsi="Times New Roman" w:eastAsia="方正仿宋简体" w:cs="Times New Roman"/>
          <w:b w:val="0"/>
          <w:bCs w:val="0"/>
          <w:color w:val="auto"/>
          <w:sz w:val="32"/>
          <w:szCs w:val="32"/>
        </w:rPr>
        <w:t>加强资金管理。</w:t>
      </w:r>
      <w:r>
        <w:rPr>
          <w:rFonts w:hint="default" w:ascii="Times New Roman" w:hAnsi="Times New Roman" w:eastAsia="方正仿宋简体" w:cs="Times New Roman"/>
          <w:color w:val="auto"/>
          <w:sz w:val="32"/>
          <w:szCs w:val="32"/>
        </w:rPr>
        <w:t>严格按照</w:t>
      </w:r>
      <w:r>
        <w:rPr>
          <w:rFonts w:hint="default" w:ascii="Times New Roman" w:hAnsi="Times New Roman" w:eastAsia="方正仿宋简体" w:cs="Times New Roman"/>
          <w:b w:val="0"/>
          <w:i w:val="0"/>
          <w:caps w:val="0"/>
          <w:spacing w:val="-6"/>
          <w:w w:val="100"/>
          <w:kern w:val="2"/>
          <w:sz w:val="32"/>
          <w:szCs w:val="32"/>
          <w:lang w:val="en-US" w:eastAsia="zh-CN" w:bidi="zh-CN"/>
        </w:rPr>
        <w:t>相关财务</w:t>
      </w:r>
      <w:r>
        <w:rPr>
          <w:rFonts w:hint="default" w:ascii="Times New Roman" w:hAnsi="Times New Roman" w:eastAsia="方正仿宋简体" w:cs="Times New Roman"/>
          <w:b w:val="0"/>
          <w:i w:val="0"/>
          <w:caps w:val="0"/>
          <w:color w:val="auto"/>
          <w:spacing w:val="0"/>
          <w:w w:val="100"/>
          <w:kern w:val="2"/>
          <w:sz w:val="32"/>
          <w:szCs w:val="32"/>
          <w:lang w:val="en-US" w:eastAsia="zh-CN" w:bidi="zh-CN"/>
        </w:rPr>
        <w:t>管理要求</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确保</w:t>
      </w:r>
      <w:r>
        <w:rPr>
          <w:rFonts w:hint="default" w:ascii="Times New Roman" w:hAnsi="Times New Roman" w:eastAsia="方正仿宋简体" w:cs="Times New Roman"/>
          <w:b w:val="0"/>
          <w:i w:val="0"/>
          <w:caps w:val="0"/>
          <w:color w:val="auto"/>
          <w:spacing w:val="0"/>
          <w:w w:val="100"/>
          <w:kern w:val="2"/>
          <w:sz w:val="32"/>
          <w:szCs w:val="32"/>
          <w:lang w:val="en-US" w:eastAsia="zh-CN" w:bidi="zh-CN"/>
        </w:rPr>
        <w:t>财政资金专款专用，</w:t>
      </w:r>
      <w:r>
        <w:rPr>
          <w:rFonts w:hint="default" w:ascii="Times New Roman" w:hAnsi="Times New Roman" w:eastAsia="方正仿宋简体" w:cs="Times New Roman"/>
          <w:color w:val="auto"/>
          <w:spacing w:val="0"/>
          <w:sz w:val="32"/>
          <w:szCs w:val="32"/>
          <w:lang w:bidi="zh-CN"/>
        </w:rPr>
        <w:t>对照资金概算规范使用</w:t>
      </w:r>
      <w:r>
        <w:rPr>
          <w:rFonts w:hint="default" w:ascii="Times New Roman" w:hAnsi="Times New Roman" w:eastAsia="方正仿宋简体" w:cs="Times New Roman"/>
          <w:b w:val="0"/>
          <w:i w:val="0"/>
          <w:caps w:val="0"/>
          <w:color w:val="auto"/>
          <w:spacing w:val="0"/>
          <w:w w:val="100"/>
          <w:kern w:val="2"/>
          <w:sz w:val="32"/>
          <w:szCs w:val="32"/>
          <w:lang w:val="en-US" w:eastAsia="zh-CN" w:bidi="zh-CN"/>
        </w:rPr>
        <w:t>补助资金。</w:t>
      </w:r>
      <w:r>
        <w:rPr>
          <w:rFonts w:hint="default" w:ascii="Times New Roman" w:hAnsi="Times New Roman" w:eastAsia="方正仿宋简体" w:cs="Times New Roman"/>
          <w:color w:val="auto"/>
          <w:sz w:val="32"/>
          <w:szCs w:val="32"/>
        </w:rPr>
        <w:t xml:space="preserve">建立资金使用台账，定期开展资金使用情况检查，确保资金安全高效使用。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仿宋简体">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公文仿宋">
    <w:altName w:val="仿宋"/>
    <w:panose1 w:val="02000500000000000000"/>
    <w:charset w:val="86"/>
    <w:family w:val="auto"/>
    <w:pitch w:val="default"/>
    <w:sig w:usb0="00000000" w:usb1="00000000" w:usb2="00000016" w:usb3="00000000" w:csb0="00040001" w:csb1="00000000"/>
  </w:font>
  <w:font w:name="仿宋">
    <w:panose1 w:val="02010609060101010101"/>
    <w:charset w:val="86"/>
    <w:family w:val="auto"/>
    <w:pitch w:val="default"/>
    <w:sig w:usb0="800002BF" w:usb1="38CF7CFA" w:usb2="00000016" w:usb3="00000000" w:csb0="00040001" w:csb1="00000000"/>
  </w:font>
  <w:font w:name="方正黑体简体">
    <w:panose1 w:val="03000509000000000000"/>
    <w:charset w:val="86"/>
    <w:family w:val="auto"/>
    <w:pitch w:val="default"/>
    <w:sig w:usb0="00000001" w:usb1="080E0000" w:usb2="00000000" w:usb3="00000000" w:csb0="00040000" w:csb1="00000000"/>
  </w:font>
  <w:font w:name="方正楷体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0704189"/>
    <w:rsid w:val="00414397"/>
    <w:rsid w:val="004A1407"/>
    <w:rsid w:val="00523FF1"/>
    <w:rsid w:val="00FC37F1"/>
    <w:rsid w:val="010B22B0"/>
    <w:rsid w:val="013C7A42"/>
    <w:rsid w:val="01406847"/>
    <w:rsid w:val="01667A1B"/>
    <w:rsid w:val="016A6FD7"/>
    <w:rsid w:val="01763BCE"/>
    <w:rsid w:val="01B6046E"/>
    <w:rsid w:val="01FE3B56"/>
    <w:rsid w:val="021358C1"/>
    <w:rsid w:val="021533E7"/>
    <w:rsid w:val="021653B1"/>
    <w:rsid w:val="02431CA7"/>
    <w:rsid w:val="02497534"/>
    <w:rsid w:val="02785724"/>
    <w:rsid w:val="03045209"/>
    <w:rsid w:val="034B4BE6"/>
    <w:rsid w:val="038C76D9"/>
    <w:rsid w:val="03AE2822"/>
    <w:rsid w:val="040A2CF3"/>
    <w:rsid w:val="043D6C25"/>
    <w:rsid w:val="047D1717"/>
    <w:rsid w:val="04934A97"/>
    <w:rsid w:val="04AE7B23"/>
    <w:rsid w:val="04B555DF"/>
    <w:rsid w:val="04E86B91"/>
    <w:rsid w:val="04EF43C3"/>
    <w:rsid w:val="04F47DC1"/>
    <w:rsid w:val="05160A69"/>
    <w:rsid w:val="053242B0"/>
    <w:rsid w:val="053B4F8F"/>
    <w:rsid w:val="05562388"/>
    <w:rsid w:val="058A5E9A"/>
    <w:rsid w:val="05926AFC"/>
    <w:rsid w:val="05A777E5"/>
    <w:rsid w:val="05C07B0D"/>
    <w:rsid w:val="05E10BD2"/>
    <w:rsid w:val="062C0CFF"/>
    <w:rsid w:val="06451DC1"/>
    <w:rsid w:val="06581B67"/>
    <w:rsid w:val="068F128E"/>
    <w:rsid w:val="06AE3E0A"/>
    <w:rsid w:val="06AE7966"/>
    <w:rsid w:val="06C01336"/>
    <w:rsid w:val="06EB08B1"/>
    <w:rsid w:val="07287718"/>
    <w:rsid w:val="072C76B6"/>
    <w:rsid w:val="07427826"/>
    <w:rsid w:val="078A03D3"/>
    <w:rsid w:val="079D55F2"/>
    <w:rsid w:val="07CB4548"/>
    <w:rsid w:val="07D01B5E"/>
    <w:rsid w:val="07E13D6B"/>
    <w:rsid w:val="0808579C"/>
    <w:rsid w:val="0811797A"/>
    <w:rsid w:val="08184BDB"/>
    <w:rsid w:val="082C3238"/>
    <w:rsid w:val="089963F4"/>
    <w:rsid w:val="08C42EC0"/>
    <w:rsid w:val="09286622"/>
    <w:rsid w:val="09526CCE"/>
    <w:rsid w:val="09723479"/>
    <w:rsid w:val="098D41AA"/>
    <w:rsid w:val="099E1F14"/>
    <w:rsid w:val="09F2400E"/>
    <w:rsid w:val="09F751D8"/>
    <w:rsid w:val="09F83FE5"/>
    <w:rsid w:val="0A085BCC"/>
    <w:rsid w:val="0A4A209B"/>
    <w:rsid w:val="0A4F5204"/>
    <w:rsid w:val="0AC45B3A"/>
    <w:rsid w:val="0AC91FE3"/>
    <w:rsid w:val="0B0504AE"/>
    <w:rsid w:val="0B420FC5"/>
    <w:rsid w:val="0B492353"/>
    <w:rsid w:val="0B6017F9"/>
    <w:rsid w:val="0BA97214"/>
    <w:rsid w:val="0C403531"/>
    <w:rsid w:val="0C4A6383"/>
    <w:rsid w:val="0C4E5ACB"/>
    <w:rsid w:val="0C4F4C8A"/>
    <w:rsid w:val="0C526FE5"/>
    <w:rsid w:val="0C756AC9"/>
    <w:rsid w:val="0CD1602E"/>
    <w:rsid w:val="0CD4117B"/>
    <w:rsid w:val="0D0F473F"/>
    <w:rsid w:val="0D3C216F"/>
    <w:rsid w:val="0D5C50AC"/>
    <w:rsid w:val="0D870F11"/>
    <w:rsid w:val="0D9A6E96"/>
    <w:rsid w:val="0DD759F4"/>
    <w:rsid w:val="0DE819AF"/>
    <w:rsid w:val="0DF06AB6"/>
    <w:rsid w:val="0DF3267B"/>
    <w:rsid w:val="0E172295"/>
    <w:rsid w:val="0E323572"/>
    <w:rsid w:val="0E356C1B"/>
    <w:rsid w:val="0E364E11"/>
    <w:rsid w:val="0E377A47"/>
    <w:rsid w:val="0E4C3985"/>
    <w:rsid w:val="0E5A168E"/>
    <w:rsid w:val="0E6F3057"/>
    <w:rsid w:val="0E8E5D66"/>
    <w:rsid w:val="0E986DE4"/>
    <w:rsid w:val="0E9E6512"/>
    <w:rsid w:val="0ED67E45"/>
    <w:rsid w:val="0EEA5BFB"/>
    <w:rsid w:val="0EF34AB0"/>
    <w:rsid w:val="0F21718D"/>
    <w:rsid w:val="0F3D3F7D"/>
    <w:rsid w:val="0F474DFC"/>
    <w:rsid w:val="0F7554C5"/>
    <w:rsid w:val="0F7A6F7F"/>
    <w:rsid w:val="0F987405"/>
    <w:rsid w:val="0F9A13CF"/>
    <w:rsid w:val="0FD06B9F"/>
    <w:rsid w:val="0FD348E1"/>
    <w:rsid w:val="0FDC0191"/>
    <w:rsid w:val="0FF61E7A"/>
    <w:rsid w:val="1011655B"/>
    <w:rsid w:val="10280789"/>
    <w:rsid w:val="10554ECE"/>
    <w:rsid w:val="10AB2ADB"/>
    <w:rsid w:val="10B14C22"/>
    <w:rsid w:val="10E2302E"/>
    <w:rsid w:val="10FE773C"/>
    <w:rsid w:val="110F7B9B"/>
    <w:rsid w:val="11274EE5"/>
    <w:rsid w:val="11477335"/>
    <w:rsid w:val="114F1D45"/>
    <w:rsid w:val="119248F7"/>
    <w:rsid w:val="119D0D03"/>
    <w:rsid w:val="11A26319"/>
    <w:rsid w:val="11D230A2"/>
    <w:rsid w:val="11FF376C"/>
    <w:rsid w:val="12130FC5"/>
    <w:rsid w:val="1226519C"/>
    <w:rsid w:val="123362EF"/>
    <w:rsid w:val="12463148"/>
    <w:rsid w:val="12492C39"/>
    <w:rsid w:val="124D59AB"/>
    <w:rsid w:val="125E4936"/>
    <w:rsid w:val="12945F5C"/>
    <w:rsid w:val="12A7643B"/>
    <w:rsid w:val="12BD6324"/>
    <w:rsid w:val="12CA1FCB"/>
    <w:rsid w:val="12F347F2"/>
    <w:rsid w:val="131B6383"/>
    <w:rsid w:val="133B4C4C"/>
    <w:rsid w:val="134742C6"/>
    <w:rsid w:val="134B2315"/>
    <w:rsid w:val="1399374C"/>
    <w:rsid w:val="13A50D5E"/>
    <w:rsid w:val="145A1E9B"/>
    <w:rsid w:val="148458D3"/>
    <w:rsid w:val="14D902A4"/>
    <w:rsid w:val="150A4901"/>
    <w:rsid w:val="152534E9"/>
    <w:rsid w:val="15400323"/>
    <w:rsid w:val="1565422D"/>
    <w:rsid w:val="158F3058"/>
    <w:rsid w:val="15C402A5"/>
    <w:rsid w:val="15DA3CC3"/>
    <w:rsid w:val="16534086"/>
    <w:rsid w:val="16772049"/>
    <w:rsid w:val="168C1346"/>
    <w:rsid w:val="168F6536"/>
    <w:rsid w:val="17171C51"/>
    <w:rsid w:val="171E7FAF"/>
    <w:rsid w:val="173303FF"/>
    <w:rsid w:val="173A2DBA"/>
    <w:rsid w:val="177021AE"/>
    <w:rsid w:val="177B7D38"/>
    <w:rsid w:val="177C760C"/>
    <w:rsid w:val="17AE31CF"/>
    <w:rsid w:val="17CC18DC"/>
    <w:rsid w:val="1800023D"/>
    <w:rsid w:val="183B3024"/>
    <w:rsid w:val="18453054"/>
    <w:rsid w:val="18477C1A"/>
    <w:rsid w:val="1853036D"/>
    <w:rsid w:val="185A7133"/>
    <w:rsid w:val="18AB3B04"/>
    <w:rsid w:val="18B84674"/>
    <w:rsid w:val="18B85D9C"/>
    <w:rsid w:val="18D70F9E"/>
    <w:rsid w:val="18EE0096"/>
    <w:rsid w:val="18F25579"/>
    <w:rsid w:val="191747A4"/>
    <w:rsid w:val="19C07D32"/>
    <w:rsid w:val="19E80331"/>
    <w:rsid w:val="1AA2738A"/>
    <w:rsid w:val="1ABD41C4"/>
    <w:rsid w:val="1AD80FFE"/>
    <w:rsid w:val="1B416BA3"/>
    <w:rsid w:val="1B5A1A13"/>
    <w:rsid w:val="1B7B4D05"/>
    <w:rsid w:val="1B8B1502"/>
    <w:rsid w:val="1BDD2D6F"/>
    <w:rsid w:val="1BF9747E"/>
    <w:rsid w:val="1C2362A8"/>
    <w:rsid w:val="1C6A1F4B"/>
    <w:rsid w:val="1C6E623D"/>
    <w:rsid w:val="1C7F7983"/>
    <w:rsid w:val="1CA1608E"/>
    <w:rsid w:val="1CAA0778"/>
    <w:rsid w:val="1CC655B2"/>
    <w:rsid w:val="1CD20DAA"/>
    <w:rsid w:val="1D1358BD"/>
    <w:rsid w:val="1D28626C"/>
    <w:rsid w:val="1D4209B0"/>
    <w:rsid w:val="1D5A219E"/>
    <w:rsid w:val="1DAD49C3"/>
    <w:rsid w:val="1DBB70D0"/>
    <w:rsid w:val="1DD6724F"/>
    <w:rsid w:val="1DDF4451"/>
    <w:rsid w:val="1DE6277D"/>
    <w:rsid w:val="1DF570FD"/>
    <w:rsid w:val="1DFA15F8"/>
    <w:rsid w:val="1DFC432F"/>
    <w:rsid w:val="1E5310C7"/>
    <w:rsid w:val="1E7F010E"/>
    <w:rsid w:val="1EF4106E"/>
    <w:rsid w:val="1F132604"/>
    <w:rsid w:val="1F5C21FD"/>
    <w:rsid w:val="1F8F25D3"/>
    <w:rsid w:val="1FE04BDC"/>
    <w:rsid w:val="2011647C"/>
    <w:rsid w:val="2014528F"/>
    <w:rsid w:val="20275CE4"/>
    <w:rsid w:val="20745325"/>
    <w:rsid w:val="20AD2564"/>
    <w:rsid w:val="20FD17BE"/>
    <w:rsid w:val="21224CC0"/>
    <w:rsid w:val="21751B5F"/>
    <w:rsid w:val="217D645B"/>
    <w:rsid w:val="21817CF9"/>
    <w:rsid w:val="21823A71"/>
    <w:rsid w:val="2187594D"/>
    <w:rsid w:val="218D5374"/>
    <w:rsid w:val="21BE5812"/>
    <w:rsid w:val="21D846A4"/>
    <w:rsid w:val="21E06B2F"/>
    <w:rsid w:val="220C0102"/>
    <w:rsid w:val="22397673"/>
    <w:rsid w:val="225C04AD"/>
    <w:rsid w:val="22A12366"/>
    <w:rsid w:val="22B81E40"/>
    <w:rsid w:val="22C72083"/>
    <w:rsid w:val="231713AD"/>
    <w:rsid w:val="23250B58"/>
    <w:rsid w:val="23757D31"/>
    <w:rsid w:val="238F6AFA"/>
    <w:rsid w:val="241C1B09"/>
    <w:rsid w:val="246C1D27"/>
    <w:rsid w:val="2479115B"/>
    <w:rsid w:val="24D46EAC"/>
    <w:rsid w:val="24D740D4"/>
    <w:rsid w:val="24E76A0D"/>
    <w:rsid w:val="25E20F82"/>
    <w:rsid w:val="25E7048C"/>
    <w:rsid w:val="25EB3895"/>
    <w:rsid w:val="25F92F66"/>
    <w:rsid w:val="2650413E"/>
    <w:rsid w:val="266940DE"/>
    <w:rsid w:val="26811A8B"/>
    <w:rsid w:val="26B11081"/>
    <w:rsid w:val="26F471BF"/>
    <w:rsid w:val="271E795E"/>
    <w:rsid w:val="278A652A"/>
    <w:rsid w:val="27D72D69"/>
    <w:rsid w:val="27FF5510"/>
    <w:rsid w:val="283D3C0E"/>
    <w:rsid w:val="284303FE"/>
    <w:rsid w:val="28456ABE"/>
    <w:rsid w:val="286E6AFD"/>
    <w:rsid w:val="289720D8"/>
    <w:rsid w:val="28D533CF"/>
    <w:rsid w:val="28EA6ACC"/>
    <w:rsid w:val="2927562A"/>
    <w:rsid w:val="295B4043"/>
    <w:rsid w:val="296E14AB"/>
    <w:rsid w:val="29A2510C"/>
    <w:rsid w:val="29C15A7E"/>
    <w:rsid w:val="29C61EA5"/>
    <w:rsid w:val="29C73A50"/>
    <w:rsid w:val="29E21551"/>
    <w:rsid w:val="29E259F5"/>
    <w:rsid w:val="29E654E5"/>
    <w:rsid w:val="2A110088"/>
    <w:rsid w:val="2A175A2C"/>
    <w:rsid w:val="2A2715E7"/>
    <w:rsid w:val="2A670B7C"/>
    <w:rsid w:val="2AB253C7"/>
    <w:rsid w:val="2ABC0C36"/>
    <w:rsid w:val="2AFB7EA6"/>
    <w:rsid w:val="2B130597"/>
    <w:rsid w:val="2B5B15BB"/>
    <w:rsid w:val="2B5D3F7C"/>
    <w:rsid w:val="2B612949"/>
    <w:rsid w:val="2B70578B"/>
    <w:rsid w:val="2B77216D"/>
    <w:rsid w:val="2B8723B0"/>
    <w:rsid w:val="2BAE2033"/>
    <w:rsid w:val="2BC90C1A"/>
    <w:rsid w:val="2BE772F2"/>
    <w:rsid w:val="2C02237E"/>
    <w:rsid w:val="2C0E526F"/>
    <w:rsid w:val="2C175C12"/>
    <w:rsid w:val="2C203208"/>
    <w:rsid w:val="2C5B0548"/>
    <w:rsid w:val="2CAF6062"/>
    <w:rsid w:val="2CB01DDA"/>
    <w:rsid w:val="2CB27900"/>
    <w:rsid w:val="2CBC42DB"/>
    <w:rsid w:val="2CC22BD7"/>
    <w:rsid w:val="2CDD3459"/>
    <w:rsid w:val="2CE657FC"/>
    <w:rsid w:val="2CED26E7"/>
    <w:rsid w:val="2D021DA1"/>
    <w:rsid w:val="2D630143"/>
    <w:rsid w:val="2D800365"/>
    <w:rsid w:val="2D984D48"/>
    <w:rsid w:val="2DE10789"/>
    <w:rsid w:val="2DEC299E"/>
    <w:rsid w:val="2DEE3B7D"/>
    <w:rsid w:val="2E2A0BD5"/>
    <w:rsid w:val="2EBF02D6"/>
    <w:rsid w:val="2ECC72D2"/>
    <w:rsid w:val="2F0957D2"/>
    <w:rsid w:val="2F097580"/>
    <w:rsid w:val="2F2846BA"/>
    <w:rsid w:val="2F3527BA"/>
    <w:rsid w:val="2F6824F8"/>
    <w:rsid w:val="2F7B090C"/>
    <w:rsid w:val="2FA013CF"/>
    <w:rsid w:val="2FA23AF4"/>
    <w:rsid w:val="2FB07093"/>
    <w:rsid w:val="305E70DA"/>
    <w:rsid w:val="3085622A"/>
    <w:rsid w:val="308750D2"/>
    <w:rsid w:val="30A734F4"/>
    <w:rsid w:val="30E27C07"/>
    <w:rsid w:val="30F06C49"/>
    <w:rsid w:val="31083F93"/>
    <w:rsid w:val="31AD68E8"/>
    <w:rsid w:val="31D71BB7"/>
    <w:rsid w:val="31D73965"/>
    <w:rsid w:val="325213CF"/>
    <w:rsid w:val="32526CDC"/>
    <w:rsid w:val="325B6344"/>
    <w:rsid w:val="32805DAB"/>
    <w:rsid w:val="32A6188A"/>
    <w:rsid w:val="32A63A63"/>
    <w:rsid w:val="32D22AAA"/>
    <w:rsid w:val="32F522F5"/>
    <w:rsid w:val="331C502F"/>
    <w:rsid w:val="33633703"/>
    <w:rsid w:val="338F44F8"/>
    <w:rsid w:val="33996B5A"/>
    <w:rsid w:val="33D75E9F"/>
    <w:rsid w:val="34076784"/>
    <w:rsid w:val="341B37F6"/>
    <w:rsid w:val="342D5CE4"/>
    <w:rsid w:val="34313801"/>
    <w:rsid w:val="345C0F61"/>
    <w:rsid w:val="34763909"/>
    <w:rsid w:val="3489363D"/>
    <w:rsid w:val="34B2377F"/>
    <w:rsid w:val="34C04B85"/>
    <w:rsid w:val="34D16D92"/>
    <w:rsid w:val="34E73B1D"/>
    <w:rsid w:val="35366BF5"/>
    <w:rsid w:val="359758E5"/>
    <w:rsid w:val="35D55996"/>
    <w:rsid w:val="35FA5E74"/>
    <w:rsid w:val="361C228F"/>
    <w:rsid w:val="368702AB"/>
    <w:rsid w:val="36B55EFA"/>
    <w:rsid w:val="36C26666"/>
    <w:rsid w:val="36C41595"/>
    <w:rsid w:val="36CA63F8"/>
    <w:rsid w:val="37344E5D"/>
    <w:rsid w:val="374B2E2B"/>
    <w:rsid w:val="37826121"/>
    <w:rsid w:val="37AE5168"/>
    <w:rsid w:val="37D50947"/>
    <w:rsid w:val="38060B00"/>
    <w:rsid w:val="38434D5F"/>
    <w:rsid w:val="38636287"/>
    <w:rsid w:val="38660DE2"/>
    <w:rsid w:val="38B43FA5"/>
    <w:rsid w:val="38BF4ADC"/>
    <w:rsid w:val="38C83769"/>
    <w:rsid w:val="38EF77E6"/>
    <w:rsid w:val="38F47D12"/>
    <w:rsid w:val="38FD0155"/>
    <w:rsid w:val="390B1FBD"/>
    <w:rsid w:val="39197C03"/>
    <w:rsid w:val="39253208"/>
    <w:rsid w:val="39477F91"/>
    <w:rsid w:val="3955065B"/>
    <w:rsid w:val="39925B6B"/>
    <w:rsid w:val="399E3C8A"/>
    <w:rsid w:val="39D877FB"/>
    <w:rsid w:val="39EE487A"/>
    <w:rsid w:val="3A220F86"/>
    <w:rsid w:val="3A323902"/>
    <w:rsid w:val="3A95616C"/>
    <w:rsid w:val="3AB2175A"/>
    <w:rsid w:val="3AE315CD"/>
    <w:rsid w:val="3B6E0E96"/>
    <w:rsid w:val="3B8C756F"/>
    <w:rsid w:val="3B9C6DBC"/>
    <w:rsid w:val="3BB0325D"/>
    <w:rsid w:val="3BBA7885"/>
    <w:rsid w:val="3BC767F9"/>
    <w:rsid w:val="3BD31641"/>
    <w:rsid w:val="3C197EC2"/>
    <w:rsid w:val="3C2A792F"/>
    <w:rsid w:val="3C5906D2"/>
    <w:rsid w:val="3C7A1ABD"/>
    <w:rsid w:val="3C82242D"/>
    <w:rsid w:val="3CC4348C"/>
    <w:rsid w:val="3CC44440"/>
    <w:rsid w:val="3CCA1680"/>
    <w:rsid w:val="3CE678CB"/>
    <w:rsid w:val="3CED6733"/>
    <w:rsid w:val="3D0F0457"/>
    <w:rsid w:val="3D2E2FD3"/>
    <w:rsid w:val="3D311C7C"/>
    <w:rsid w:val="3D324951"/>
    <w:rsid w:val="3D361E88"/>
    <w:rsid w:val="3D3E2AEA"/>
    <w:rsid w:val="3D5A3DC8"/>
    <w:rsid w:val="3DC22895"/>
    <w:rsid w:val="3DCB6A74"/>
    <w:rsid w:val="3DD05E38"/>
    <w:rsid w:val="3DF53AF1"/>
    <w:rsid w:val="3E133F77"/>
    <w:rsid w:val="3E4D7489"/>
    <w:rsid w:val="3E575997"/>
    <w:rsid w:val="3E5C1847"/>
    <w:rsid w:val="3E726EF0"/>
    <w:rsid w:val="3E7E3AE6"/>
    <w:rsid w:val="3E8409D1"/>
    <w:rsid w:val="3E9E5F37"/>
    <w:rsid w:val="3ECB2DF3"/>
    <w:rsid w:val="3ECF60F0"/>
    <w:rsid w:val="3EE0705F"/>
    <w:rsid w:val="3EE6168C"/>
    <w:rsid w:val="3EFB6EE5"/>
    <w:rsid w:val="3F055FB6"/>
    <w:rsid w:val="3F312907"/>
    <w:rsid w:val="3F3B3785"/>
    <w:rsid w:val="3F95243E"/>
    <w:rsid w:val="403E177F"/>
    <w:rsid w:val="40405AC9"/>
    <w:rsid w:val="405B1119"/>
    <w:rsid w:val="405C39B3"/>
    <w:rsid w:val="408C58C5"/>
    <w:rsid w:val="40EC74C6"/>
    <w:rsid w:val="4124766B"/>
    <w:rsid w:val="41594397"/>
    <w:rsid w:val="419B675D"/>
    <w:rsid w:val="41C07F72"/>
    <w:rsid w:val="420263F2"/>
    <w:rsid w:val="424B69BB"/>
    <w:rsid w:val="42520F0B"/>
    <w:rsid w:val="425F3C2F"/>
    <w:rsid w:val="427A5406"/>
    <w:rsid w:val="428E0070"/>
    <w:rsid w:val="42FB3958"/>
    <w:rsid w:val="43065E58"/>
    <w:rsid w:val="43295C9F"/>
    <w:rsid w:val="435A3C9C"/>
    <w:rsid w:val="443C120E"/>
    <w:rsid w:val="44632A84"/>
    <w:rsid w:val="446F5A21"/>
    <w:rsid w:val="44775DE2"/>
    <w:rsid w:val="44872FC9"/>
    <w:rsid w:val="44977FD5"/>
    <w:rsid w:val="44CB735A"/>
    <w:rsid w:val="45012D7B"/>
    <w:rsid w:val="4508235C"/>
    <w:rsid w:val="451505D5"/>
    <w:rsid w:val="451B385B"/>
    <w:rsid w:val="452345EE"/>
    <w:rsid w:val="45386821"/>
    <w:rsid w:val="454602CD"/>
    <w:rsid w:val="454964D0"/>
    <w:rsid w:val="457D3829"/>
    <w:rsid w:val="45800BDC"/>
    <w:rsid w:val="45E32481"/>
    <w:rsid w:val="46141E89"/>
    <w:rsid w:val="468679DC"/>
    <w:rsid w:val="469A1A70"/>
    <w:rsid w:val="46A35BE2"/>
    <w:rsid w:val="46CB3641"/>
    <w:rsid w:val="46FC5D66"/>
    <w:rsid w:val="471A5B14"/>
    <w:rsid w:val="472D6215"/>
    <w:rsid w:val="473311D8"/>
    <w:rsid w:val="474A246F"/>
    <w:rsid w:val="475E5EB4"/>
    <w:rsid w:val="477C72B0"/>
    <w:rsid w:val="479B7B3F"/>
    <w:rsid w:val="479C4FCE"/>
    <w:rsid w:val="47A0687C"/>
    <w:rsid w:val="47D66999"/>
    <w:rsid w:val="47D93B3C"/>
    <w:rsid w:val="48074CBA"/>
    <w:rsid w:val="480768FB"/>
    <w:rsid w:val="485A1120"/>
    <w:rsid w:val="48C301A1"/>
    <w:rsid w:val="490966A2"/>
    <w:rsid w:val="490C7E26"/>
    <w:rsid w:val="491F1A22"/>
    <w:rsid w:val="492C0F12"/>
    <w:rsid w:val="493059DD"/>
    <w:rsid w:val="49CD76D0"/>
    <w:rsid w:val="4A513E5D"/>
    <w:rsid w:val="4A9E2E1A"/>
    <w:rsid w:val="4AA541A9"/>
    <w:rsid w:val="4B04536E"/>
    <w:rsid w:val="4B094738"/>
    <w:rsid w:val="4B0C61BF"/>
    <w:rsid w:val="4B242014"/>
    <w:rsid w:val="4B614574"/>
    <w:rsid w:val="4B751DCD"/>
    <w:rsid w:val="4B775437"/>
    <w:rsid w:val="4BBE3774"/>
    <w:rsid w:val="4C2D4456"/>
    <w:rsid w:val="4C4107DD"/>
    <w:rsid w:val="4C43011D"/>
    <w:rsid w:val="4C7E6688"/>
    <w:rsid w:val="4C8E681B"/>
    <w:rsid w:val="4C9761A5"/>
    <w:rsid w:val="4CA54934"/>
    <w:rsid w:val="4CC41230"/>
    <w:rsid w:val="4CD34FFD"/>
    <w:rsid w:val="4CD36635"/>
    <w:rsid w:val="4CD805F1"/>
    <w:rsid w:val="4CDA46A0"/>
    <w:rsid w:val="4CE4605B"/>
    <w:rsid w:val="4CEA56D2"/>
    <w:rsid w:val="4CF11927"/>
    <w:rsid w:val="4D000975"/>
    <w:rsid w:val="4D1B2D86"/>
    <w:rsid w:val="4D2910C1"/>
    <w:rsid w:val="4D423F31"/>
    <w:rsid w:val="4D826A23"/>
    <w:rsid w:val="4DAA3F7D"/>
    <w:rsid w:val="4DC808DA"/>
    <w:rsid w:val="4E2F692E"/>
    <w:rsid w:val="4E4D5283"/>
    <w:rsid w:val="4E7C30B3"/>
    <w:rsid w:val="4E922C96"/>
    <w:rsid w:val="4E9C58C3"/>
    <w:rsid w:val="4EAD7AD0"/>
    <w:rsid w:val="4EB1136E"/>
    <w:rsid w:val="4EF30BFC"/>
    <w:rsid w:val="4EF9194B"/>
    <w:rsid w:val="4EF923B5"/>
    <w:rsid w:val="4EF94AC3"/>
    <w:rsid w:val="4F4246BC"/>
    <w:rsid w:val="4F4C72E9"/>
    <w:rsid w:val="4F544394"/>
    <w:rsid w:val="4F754A92"/>
    <w:rsid w:val="4FD30963"/>
    <w:rsid w:val="4FEE65F2"/>
    <w:rsid w:val="501323D1"/>
    <w:rsid w:val="502D711A"/>
    <w:rsid w:val="503E7B25"/>
    <w:rsid w:val="50493828"/>
    <w:rsid w:val="505A42B4"/>
    <w:rsid w:val="50982723"/>
    <w:rsid w:val="50A90064"/>
    <w:rsid w:val="5110328B"/>
    <w:rsid w:val="511D0F3D"/>
    <w:rsid w:val="512247A5"/>
    <w:rsid w:val="512F2A1E"/>
    <w:rsid w:val="51382B70"/>
    <w:rsid w:val="51385D77"/>
    <w:rsid w:val="51621046"/>
    <w:rsid w:val="51C62D1B"/>
    <w:rsid w:val="51DE1B25"/>
    <w:rsid w:val="51F344F3"/>
    <w:rsid w:val="523321F5"/>
    <w:rsid w:val="52614E59"/>
    <w:rsid w:val="52C50BEC"/>
    <w:rsid w:val="52F715A0"/>
    <w:rsid w:val="5302663C"/>
    <w:rsid w:val="533D7674"/>
    <w:rsid w:val="535B7B08"/>
    <w:rsid w:val="535C55F8"/>
    <w:rsid w:val="535E75EB"/>
    <w:rsid w:val="538F59F6"/>
    <w:rsid w:val="53A03B11"/>
    <w:rsid w:val="53B75B3F"/>
    <w:rsid w:val="53DE61DE"/>
    <w:rsid w:val="53F02939"/>
    <w:rsid w:val="5465760A"/>
    <w:rsid w:val="54CA318A"/>
    <w:rsid w:val="54CE5526"/>
    <w:rsid w:val="54E95D65"/>
    <w:rsid w:val="55061CE8"/>
    <w:rsid w:val="551D573A"/>
    <w:rsid w:val="55654C60"/>
    <w:rsid w:val="55AF412E"/>
    <w:rsid w:val="55ED746E"/>
    <w:rsid w:val="560E724A"/>
    <w:rsid w:val="56513437"/>
    <w:rsid w:val="568754CF"/>
    <w:rsid w:val="569A4DDE"/>
    <w:rsid w:val="56C409D0"/>
    <w:rsid w:val="56E542AB"/>
    <w:rsid w:val="56F664B8"/>
    <w:rsid w:val="571A1A7B"/>
    <w:rsid w:val="572540A2"/>
    <w:rsid w:val="57672F12"/>
    <w:rsid w:val="578E4942"/>
    <w:rsid w:val="583059FA"/>
    <w:rsid w:val="585E45D4"/>
    <w:rsid w:val="586162CA"/>
    <w:rsid w:val="587873A1"/>
    <w:rsid w:val="58D7732F"/>
    <w:rsid w:val="58D77C23"/>
    <w:rsid w:val="590D1897"/>
    <w:rsid w:val="596F2552"/>
    <w:rsid w:val="59722042"/>
    <w:rsid w:val="599C507C"/>
    <w:rsid w:val="5A0802B0"/>
    <w:rsid w:val="5A096502"/>
    <w:rsid w:val="5A4D7B61"/>
    <w:rsid w:val="5A5C11BD"/>
    <w:rsid w:val="5A900F23"/>
    <w:rsid w:val="5AA93841"/>
    <w:rsid w:val="5AC010AA"/>
    <w:rsid w:val="5AD61F8D"/>
    <w:rsid w:val="5AD750C1"/>
    <w:rsid w:val="5AEB20AC"/>
    <w:rsid w:val="5B176BF3"/>
    <w:rsid w:val="5B503CBD"/>
    <w:rsid w:val="5B5B03D6"/>
    <w:rsid w:val="5B7B2587"/>
    <w:rsid w:val="5B830AB3"/>
    <w:rsid w:val="5BAE68A6"/>
    <w:rsid w:val="5BCC3C8B"/>
    <w:rsid w:val="5C0D63F7"/>
    <w:rsid w:val="5C422212"/>
    <w:rsid w:val="5C4C0928"/>
    <w:rsid w:val="5C602626"/>
    <w:rsid w:val="5C9034C8"/>
    <w:rsid w:val="5D5E7DDE"/>
    <w:rsid w:val="5DE60909"/>
    <w:rsid w:val="5DEA664B"/>
    <w:rsid w:val="5E873E9A"/>
    <w:rsid w:val="5F5865FA"/>
    <w:rsid w:val="5FCF3D4A"/>
    <w:rsid w:val="60025ECE"/>
    <w:rsid w:val="6042276E"/>
    <w:rsid w:val="60767DAD"/>
    <w:rsid w:val="60BB7E2A"/>
    <w:rsid w:val="60EA0710"/>
    <w:rsid w:val="60FA38E7"/>
    <w:rsid w:val="61135EB8"/>
    <w:rsid w:val="613B0F6B"/>
    <w:rsid w:val="615A7643"/>
    <w:rsid w:val="616D55C9"/>
    <w:rsid w:val="6172141B"/>
    <w:rsid w:val="61783F6D"/>
    <w:rsid w:val="61B054B5"/>
    <w:rsid w:val="61CD250B"/>
    <w:rsid w:val="61E94D6C"/>
    <w:rsid w:val="62315960"/>
    <w:rsid w:val="623F7781"/>
    <w:rsid w:val="624778D7"/>
    <w:rsid w:val="627C187E"/>
    <w:rsid w:val="627D7A8D"/>
    <w:rsid w:val="62A82630"/>
    <w:rsid w:val="62AC2121"/>
    <w:rsid w:val="62C21944"/>
    <w:rsid w:val="62E713A4"/>
    <w:rsid w:val="63341FFA"/>
    <w:rsid w:val="636E5E8A"/>
    <w:rsid w:val="63754C08"/>
    <w:rsid w:val="63E506B4"/>
    <w:rsid w:val="63E646EC"/>
    <w:rsid w:val="640F68AC"/>
    <w:rsid w:val="642910AB"/>
    <w:rsid w:val="64326656"/>
    <w:rsid w:val="644D7933"/>
    <w:rsid w:val="647C1FC7"/>
    <w:rsid w:val="649D6092"/>
    <w:rsid w:val="649F75B2"/>
    <w:rsid w:val="649F7777"/>
    <w:rsid w:val="64C671FE"/>
    <w:rsid w:val="64CE0D16"/>
    <w:rsid w:val="651564AF"/>
    <w:rsid w:val="653359CE"/>
    <w:rsid w:val="653F2067"/>
    <w:rsid w:val="654900FB"/>
    <w:rsid w:val="658A426F"/>
    <w:rsid w:val="65912BB7"/>
    <w:rsid w:val="65956B33"/>
    <w:rsid w:val="65F2172C"/>
    <w:rsid w:val="65FA31A3"/>
    <w:rsid w:val="66213569"/>
    <w:rsid w:val="66687A8C"/>
    <w:rsid w:val="66903A81"/>
    <w:rsid w:val="6716225F"/>
    <w:rsid w:val="672A6364"/>
    <w:rsid w:val="67486190"/>
    <w:rsid w:val="679413D5"/>
    <w:rsid w:val="67E74C0F"/>
    <w:rsid w:val="68831B76"/>
    <w:rsid w:val="68914293"/>
    <w:rsid w:val="689C591E"/>
    <w:rsid w:val="68A513BA"/>
    <w:rsid w:val="68C63810"/>
    <w:rsid w:val="68D56ED4"/>
    <w:rsid w:val="69177140"/>
    <w:rsid w:val="6941314D"/>
    <w:rsid w:val="69652C31"/>
    <w:rsid w:val="69790630"/>
    <w:rsid w:val="699F7165"/>
    <w:rsid w:val="69AE677E"/>
    <w:rsid w:val="69CE6E20"/>
    <w:rsid w:val="6A1D56B2"/>
    <w:rsid w:val="6A5135AE"/>
    <w:rsid w:val="6A5D374B"/>
    <w:rsid w:val="6A7A2B04"/>
    <w:rsid w:val="6AC12A4A"/>
    <w:rsid w:val="6AD14E1A"/>
    <w:rsid w:val="6B231A7F"/>
    <w:rsid w:val="6B7B3F14"/>
    <w:rsid w:val="6B851761"/>
    <w:rsid w:val="6BB838E4"/>
    <w:rsid w:val="6BDF35C7"/>
    <w:rsid w:val="6C2E004A"/>
    <w:rsid w:val="6C3C4515"/>
    <w:rsid w:val="6C4B2C01"/>
    <w:rsid w:val="6C50153E"/>
    <w:rsid w:val="6C507FC1"/>
    <w:rsid w:val="6C5C1F0A"/>
    <w:rsid w:val="6C627CF4"/>
    <w:rsid w:val="6C8672E9"/>
    <w:rsid w:val="6C9136B7"/>
    <w:rsid w:val="6C944351"/>
    <w:rsid w:val="6C9B5427"/>
    <w:rsid w:val="6CBC7244"/>
    <w:rsid w:val="6CF272CA"/>
    <w:rsid w:val="6CF85463"/>
    <w:rsid w:val="6D0350BD"/>
    <w:rsid w:val="6D0C6748"/>
    <w:rsid w:val="6D1234C8"/>
    <w:rsid w:val="6D633D24"/>
    <w:rsid w:val="6DD001C4"/>
    <w:rsid w:val="6E1A0886"/>
    <w:rsid w:val="6E313E22"/>
    <w:rsid w:val="6E520400"/>
    <w:rsid w:val="6E80181D"/>
    <w:rsid w:val="6ED30A35"/>
    <w:rsid w:val="6EFF40C2"/>
    <w:rsid w:val="6F254D36"/>
    <w:rsid w:val="6F96218E"/>
    <w:rsid w:val="6FC53543"/>
    <w:rsid w:val="700E61C9"/>
    <w:rsid w:val="703B4AE4"/>
    <w:rsid w:val="70704189"/>
    <w:rsid w:val="70716758"/>
    <w:rsid w:val="708B7819"/>
    <w:rsid w:val="70911EA7"/>
    <w:rsid w:val="70940BE0"/>
    <w:rsid w:val="70F42FCF"/>
    <w:rsid w:val="7109265E"/>
    <w:rsid w:val="713F0604"/>
    <w:rsid w:val="71755581"/>
    <w:rsid w:val="71A87F57"/>
    <w:rsid w:val="71BA237C"/>
    <w:rsid w:val="71C60C68"/>
    <w:rsid w:val="71DC40A5"/>
    <w:rsid w:val="71E76CD1"/>
    <w:rsid w:val="720F6228"/>
    <w:rsid w:val="7214383E"/>
    <w:rsid w:val="72693B8A"/>
    <w:rsid w:val="727818AA"/>
    <w:rsid w:val="72E70F53"/>
    <w:rsid w:val="73070C53"/>
    <w:rsid w:val="73125FD0"/>
    <w:rsid w:val="731E2BC7"/>
    <w:rsid w:val="731F693F"/>
    <w:rsid w:val="7333250B"/>
    <w:rsid w:val="73345E88"/>
    <w:rsid w:val="7349576A"/>
    <w:rsid w:val="735C549D"/>
    <w:rsid w:val="73A20A5C"/>
    <w:rsid w:val="73B40E35"/>
    <w:rsid w:val="73B9469D"/>
    <w:rsid w:val="73D239B1"/>
    <w:rsid w:val="73D414D7"/>
    <w:rsid w:val="73EF6311"/>
    <w:rsid w:val="74085182"/>
    <w:rsid w:val="7496164A"/>
    <w:rsid w:val="74C23A26"/>
    <w:rsid w:val="7548286D"/>
    <w:rsid w:val="75581C94"/>
    <w:rsid w:val="757A15E3"/>
    <w:rsid w:val="758330EC"/>
    <w:rsid w:val="75AF3FAA"/>
    <w:rsid w:val="75C169C3"/>
    <w:rsid w:val="75DF5F11"/>
    <w:rsid w:val="76412586"/>
    <w:rsid w:val="766206E7"/>
    <w:rsid w:val="769E5DCD"/>
    <w:rsid w:val="76A71125"/>
    <w:rsid w:val="76D0133D"/>
    <w:rsid w:val="76E063E5"/>
    <w:rsid w:val="76EB7264"/>
    <w:rsid w:val="76F679B7"/>
    <w:rsid w:val="77147E3D"/>
    <w:rsid w:val="772E4CC6"/>
    <w:rsid w:val="773329B9"/>
    <w:rsid w:val="77456248"/>
    <w:rsid w:val="774A22E5"/>
    <w:rsid w:val="776313AB"/>
    <w:rsid w:val="77663F71"/>
    <w:rsid w:val="777059BB"/>
    <w:rsid w:val="77A1058D"/>
    <w:rsid w:val="77F47F52"/>
    <w:rsid w:val="782A7918"/>
    <w:rsid w:val="7859644F"/>
    <w:rsid w:val="787D038F"/>
    <w:rsid w:val="78D37FAF"/>
    <w:rsid w:val="78DA7590"/>
    <w:rsid w:val="78DD0E2E"/>
    <w:rsid w:val="7931117A"/>
    <w:rsid w:val="79504166"/>
    <w:rsid w:val="79A731EA"/>
    <w:rsid w:val="79B002F1"/>
    <w:rsid w:val="79C36276"/>
    <w:rsid w:val="79D63AE0"/>
    <w:rsid w:val="7A28432B"/>
    <w:rsid w:val="7A6730A5"/>
    <w:rsid w:val="7AA02113"/>
    <w:rsid w:val="7AAA4392"/>
    <w:rsid w:val="7AD65B35"/>
    <w:rsid w:val="7B585858"/>
    <w:rsid w:val="7B875081"/>
    <w:rsid w:val="7BA94FF8"/>
    <w:rsid w:val="7C333D17"/>
    <w:rsid w:val="7C43369E"/>
    <w:rsid w:val="7C662EE9"/>
    <w:rsid w:val="7C8415C1"/>
    <w:rsid w:val="7C9932BE"/>
    <w:rsid w:val="7CED53B8"/>
    <w:rsid w:val="7CEF7382"/>
    <w:rsid w:val="7D0D63DA"/>
    <w:rsid w:val="7D7D673C"/>
    <w:rsid w:val="7D807FDA"/>
    <w:rsid w:val="7DCC76C3"/>
    <w:rsid w:val="7DE1316F"/>
    <w:rsid w:val="7E1C4B33"/>
    <w:rsid w:val="7E2E74D4"/>
    <w:rsid w:val="7EE527EB"/>
    <w:rsid w:val="7EE60D98"/>
    <w:rsid w:val="7EF26CB5"/>
    <w:rsid w:val="7EFD18A2"/>
    <w:rsid w:val="7F01514B"/>
    <w:rsid w:val="7F0A3FFF"/>
    <w:rsid w:val="7F2B6F87"/>
    <w:rsid w:val="7F651B7D"/>
    <w:rsid w:val="7F7E49ED"/>
    <w:rsid w:val="7F8A15E4"/>
    <w:rsid w:val="7FA910C6"/>
    <w:rsid w:val="7FC51B88"/>
    <w:rsid w:val="7FC93695"/>
    <w:rsid w:val="7FE75B1F"/>
    <w:rsid w:val="7FF53B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paragraph" w:styleId="2">
    <w:name w:val="heading 1"/>
    <w:basedOn w:val="1"/>
    <w:next w:val="1"/>
    <w:qFormat/>
    <w:uiPriority w:val="0"/>
    <w:pPr>
      <w:spacing w:before="200" w:beforeLines="200" w:beforeAutospacing="0" w:after="200" w:afterLines="200" w:afterAutospacing="0" w:line="440" w:lineRule="exact"/>
      <w:ind w:firstLine="0" w:firstLineChars="0"/>
      <w:jc w:val="center"/>
      <w:outlineLvl w:val="0"/>
    </w:pPr>
    <w:rPr>
      <w:rFonts w:hint="eastAsia" w:ascii="宋体" w:hAnsi="宋体" w:cs="宋体"/>
      <w:b/>
      <w:bCs/>
      <w:kern w:val="44"/>
      <w:sz w:val="32"/>
      <w:szCs w:val="48"/>
      <w:lang w:bidi="ar"/>
    </w:rPr>
  </w:style>
  <w:style w:type="paragraph" w:styleId="3">
    <w:name w:val="heading 2"/>
    <w:basedOn w:val="1"/>
    <w:next w:val="1"/>
    <w:semiHidden/>
    <w:unhideWhenUsed/>
    <w:qFormat/>
    <w:uiPriority w:val="0"/>
    <w:pPr>
      <w:spacing w:before="150" w:beforeLines="150" w:beforeAutospacing="0" w:after="150" w:afterLines="150" w:afterAutospacing="0" w:line="440" w:lineRule="exact"/>
      <w:ind w:firstLine="0" w:firstLineChars="0"/>
      <w:jc w:val="left"/>
      <w:outlineLvl w:val="1"/>
    </w:pPr>
    <w:rPr>
      <w:rFonts w:hint="eastAsia" w:ascii="宋体" w:hAnsi="宋体" w:cs="宋体"/>
      <w:b/>
      <w:bCs/>
      <w:kern w:val="0"/>
      <w:sz w:val="30"/>
      <w:szCs w:val="36"/>
      <w:lang w:bidi="ar"/>
    </w:rPr>
  </w:style>
  <w:style w:type="paragraph" w:styleId="4">
    <w:name w:val="heading 3"/>
    <w:basedOn w:val="1"/>
    <w:next w:val="1"/>
    <w:semiHidden/>
    <w:unhideWhenUsed/>
    <w:qFormat/>
    <w:uiPriority w:val="0"/>
    <w:pPr>
      <w:spacing w:before="100" w:beforeLines="100" w:beforeAutospacing="0" w:after="100" w:afterLines="100" w:afterAutospacing="0" w:line="440" w:lineRule="exact"/>
      <w:ind w:firstLine="0" w:firstLineChars="0"/>
      <w:jc w:val="left"/>
      <w:outlineLvl w:val="2"/>
    </w:pPr>
    <w:rPr>
      <w:rFonts w:hint="eastAsia" w:ascii="宋体" w:hAnsi="宋体" w:cs="宋体"/>
      <w:b/>
      <w:bCs/>
      <w:kern w:val="0"/>
      <w:sz w:val="28"/>
      <w:szCs w:val="27"/>
      <w:lang w:bidi="ar"/>
    </w:rPr>
  </w:style>
  <w:style w:type="paragraph" w:styleId="5">
    <w:name w:val="heading 4"/>
    <w:basedOn w:val="1"/>
    <w:next w:val="1"/>
    <w:semiHidden/>
    <w:unhideWhenUsed/>
    <w:qFormat/>
    <w:uiPriority w:val="0"/>
    <w:pPr>
      <w:keepNext/>
      <w:keepLines/>
      <w:spacing w:beforeLines="0" w:beforeAutospacing="0" w:afterLines="0" w:afterAutospacing="0" w:line="440" w:lineRule="exact"/>
      <w:ind w:firstLine="0" w:firstLineChars="0"/>
      <w:jc w:val="left"/>
      <w:outlineLvl w:val="3"/>
    </w:pPr>
    <w:rPr>
      <w:rFonts w:ascii="Arial" w:hAnsi="Arial" w:eastAsia="黑体"/>
      <w:b/>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99"/>
    <w:pPr>
      <w:jc w:val="left"/>
    </w:pPr>
    <w:rPr>
      <w:rFonts w:ascii="Verdana" w:hAnsi="Verdana"/>
      <w:kern w:val="0"/>
      <w:sz w:val="19"/>
      <w:szCs w:val="19"/>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font01"/>
    <w:qFormat/>
    <w:uiPriority w:val="0"/>
    <w:rPr>
      <w:rFonts w:hint="eastAsia" w:ascii="宋体" w:hAnsi="宋体" w:eastAsia="宋体" w:cs="宋体"/>
      <w:b/>
      <w:color w:val="000000"/>
      <w:sz w:val="36"/>
      <w:szCs w:val="36"/>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12ebc9c2-ade9-4cfe-9372-fdcf3e4cda88}">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3645</Words>
  <Characters>4101</Characters>
  <Lines>0</Lines>
  <Paragraphs>0</Paragraphs>
  <TotalTime>1</TotalTime>
  <ScaleCrop>false</ScaleCrop>
  <LinksUpToDate>false</LinksUpToDate>
  <CharactersWithSpaces>4117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2025-09-04T02:24:00Z</dcterms:created>
  <dc:creator>幸运咖</dc:creator>
  <cp:lastModifiedBy>秀逗</cp:lastModifiedBy>
  <cp:lastPrinted>2025-10-13T06:55:00Z</cp:lastPrinted>
  <dcterms:modified xsi:type="dcterms:W3CDTF">2026-09-04T03:00:16Z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4D3EAE17EB70482EB432F44E46A473EC_13</vt:lpwstr>
  </property>
  <property fmtid="{D5CDD505-2E9C-101B-9397-08002B2CF9AE}" pid="4" name="KSOTemplateDocerSaveRecord">
    <vt:lpwstr>eyJoZGlkIjoiNTc0ODZmMWYwNDhlZTYzZDZiZGM0YzNkNzQwZDViNmUiLCJ1c2VySWQiOiIyODE3NzIzMjQifQ==</vt:lpwstr>
  </property>
</Properties>
</file>