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0F69D2">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Cs/>
          <w:sz w:val="44"/>
          <w:szCs w:val="44"/>
          <w:lang w:val="en-US" w:eastAsia="zh-CN"/>
        </w:rPr>
      </w:pPr>
      <w:r>
        <w:rPr>
          <w:rFonts w:hint="eastAsia" w:ascii="方正小标宋简体" w:hAnsi="方正小标宋简体" w:eastAsia="方正小标宋简体" w:cs="方正小标宋简体"/>
          <w:bCs/>
          <w:sz w:val="44"/>
          <w:szCs w:val="44"/>
          <w:lang w:val="en-US" w:eastAsia="zh-CN"/>
        </w:rPr>
        <w:t>南京市六合区2026年上半年国民经济</w:t>
      </w:r>
    </w:p>
    <w:p w14:paraId="79D0A0FD">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lang w:val="en-US" w:eastAsia="zh-CN"/>
        </w:rPr>
        <w:t>和社会发展计划执行情况</w:t>
      </w:r>
    </w:p>
    <w:p w14:paraId="23B489D7">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Times New Roman" w:hAnsi="Times New Roman" w:eastAsia="方正仿宋简体" w:cs="Times New Roman"/>
          <w:sz w:val="32"/>
          <w:szCs w:val="32"/>
          <w:highlight w:val="none"/>
        </w:rPr>
      </w:pPr>
    </w:p>
    <w:p w14:paraId="3453DB6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一、上半年国民经济和社会发展计划执行情况</w:t>
      </w:r>
    </w:p>
    <w:p w14:paraId="75464A3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简体" w:cs="Times New Roman"/>
          <w:sz w:val="32"/>
          <w:szCs w:val="32"/>
          <w:highlight w:val="none"/>
          <w:lang w:val="en-US" w:eastAsia="zh-CN"/>
        </w:rPr>
      </w:pPr>
      <w:r>
        <w:rPr>
          <w:rFonts w:hint="default" w:ascii="Times New Roman" w:hAnsi="Times New Roman" w:eastAsia="方正仿宋简体" w:cs="Times New Roman"/>
          <w:sz w:val="32"/>
          <w:szCs w:val="32"/>
          <w:highlight w:val="none"/>
        </w:rPr>
        <w:t>今年以来，</w:t>
      </w:r>
      <w:r>
        <w:rPr>
          <w:rFonts w:hint="default" w:ascii="Times New Roman" w:hAnsi="Times New Roman" w:eastAsia="方正仿宋简体" w:cs="Times New Roman"/>
          <w:sz w:val="32"/>
          <w:szCs w:val="32"/>
          <w:highlight w:val="none"/>
          <w:lang w:val="en-US" w:eastAsia="zh-CN"/>
        </w:rPr>
        <w:t>全区上下锚定“两个千亿”奋斗目标、“2442”整体发展布局，以</w:t>
      </w:r>
      <w:r>
        <w:rPr>
          <w:rFonts w:hint="default" w:ascii="Times New Roman" w:hAnsi="Times New Roman" w:eastAsia="方正仿宋简体" w:cs="Times New Roman"/>
          <w:b w:val="0"/>
          <w:bCs w:val="0"/>
          <w:color w:val="000000" w:themeColor="text1"/>
          <w:kern w:val="2"/>
          <w:sz w:val="32"/>
          <w:szCs w:val="32"/>
          <w:highlight w:val="none"/>
          <w:u w:val="none"/>
          <w:lang w:val="en-US" w:eastAsia="zh-CN" w:bidi="ar-SA"/>
          <w14:textFill>
            <w14:solidFill>
              <w14:schemeClr w14:val="tx1"/>
            </w14:solidFill>
          </w14:textFill>
        </w:rPr>
        <w:t>深化作风建设为关键抓手，突出“新材智航、软硬结合”产业导向</w:t>
      </w:r>
      <w:r>
        <w:rPr>
          <w:rFonts w:hint="eastAsia" w:ascii="Times New Roman" w:hAnsi="Times New Roman" w:eastAsia="方正仿宋简体" w:cs="Times New Roman"/>
          <w:b w:val="0"/>
          <w:bCs w:val="0"/>
          <w:color w:val="000000" w:themeColor="text1"/>
          <w:kern w:val="2"/>
          <w:sz w:val="32"/>
          <w:szCs w:val="32"/>
          <w:highlight w:val="none"/>
          <w:u w:val="none"/>
          <w:lang w:val="en-US" w:eastAsia="zh-CN" w:bidi="ar-SA"/>
          <w14:textFill>
            <w14:solidFill>
              <w14:schemeClr w14:val="tx1"/>
            </w14:solidFill>
          </w14:textFill>
        </w:rPr>
        <w:t>，</w:t>
      </w:r>
      <w:r>
        <w:rPr>
          <w:rFonts w:hint="default" w:ascii="Times New Roman" w:hAnsi="Times New Roman" w:eastAsia="方正仿宋简体" w:cs="Times New Roman"/>
          <w:sz w:val="32"/>
          <w:szCs w:val="32"/>
          <w:highlight w:val="none"/>
          <w:lang w:val="en-US" w:eastAsia="zh-CN"/>
        </w:rPr>
        <w:t>纵深推进产业强区、富民强村各项工作</w:t>
      </w: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u w:val="none"/>
          <w:lang w:val="en-US" w:eastAsia="zh-CN"/>
        </w:rPr>
        <w:t>深化与江北新区“一体化”协同发展</w:t>
      </w:r>
      <w:r>
        <w:rPr>
          <w:rFonts w:hint="default" w:ascii="Times New Roman" w:hAnsi="Times New Roman" w:eastAsia="方正仿宋简体" w:cs="Times New Roman"/>
          <w:b w:val="0"/>
          <w:bCs w:val="0"/>
          <w:color w:val="000000" w:themeColor="text1"/>
          <w:kern w:val="2"/>
          <w:sz w:val="32"/>
          <w:szCs w:val="32"/>
          <w:highlight w:val="none"/>
          <w:u w:val="none"/>
          <w:lang w:val="en-US" w:eastAsia="zh-CN" w:bidi="ar-SA"/>
          <w14:textFill>
            <w14:solidFill>
              <w14:schemeClr w14:val="tx1"/>
            </w14:solidFill>
          </w14:textFill>
        </w:rPr>
        <w:t>，加快</w:t>
      </w:r>
      <w:r>
        <w:rPr>
          <w:rFonts w:hint="default" w:ascii="Times New Roman" w:hAnsi="Times New Roman" w:eastAsia="方正仿宋简体" w:cs="Times New Roman"/>
          <w:sz w:val="32"/>
          <w:szCs w:val="32"/>
          <w:u w:val="none"/>
          <w:lang w:val="en-US" w:eastAsia="zh-CN"/>
        </w:rPr>
        <w:t>打造“空铁智造走廊”“空天创造走廊”</w:t>
      </w:r>
      <w:r>
        <w:rPr>
          <w:rFonts w:hint="default" w:ascii="Times New Roman" w:hAnsi="Times New Roman" w:eastAsia="方正仿宋简体" w:cs="Times New Roman"/>
          <w:sz w:val="32"/>
          <w:szCs w:val="32"/>
          <w:highlight w:val="none"/>
          <w:lang w:val="en-US" w:eastAsia="zh-CN"/>
        </w:rPr>
        <w:t>，</w:t>
      </w:r>
      <w:r>
        <w:rPr>
          <w:rFonts w:hint="eastAsia" w:ascii="Times New Roman" w:hAnsi="Times New Roman" w:eastAsia="方正仿宋简体" w:cs="Times New Roman"/>
          <w:sz w:val="32"/>
          <w:szCs w:val="32"/>
          <w:highlight w:val="none"/>
          <w:lang w:val="en-US" w:eastAsia="zh-CN"/>
        </w:rPr>
        <w:t>深入落实</w:t>
      </w:r>
      <w:r>
        <w:rPr>
          <w:rFonts w:hint="default" w:ascii="Times New Roman" w:hAnsi="Times New Roman" w:eastAsia="方正仿宋简体" w:cs="Times New Roman"/>
          <w:sz w:val="32"/>
          <w:szCs w:val="32"/>
          <w:highlight w:val="none"/>
        </w:rPr>
        <w:t>人代会确定的年度计划任务</w:t>
      </w:r>
      <w:r>
        <w:rPr>
          <w:rFonts w:hint="eastAsia" w:ascii="Times New Roman" w:hAnsi="Times New Roman" w:eastAsia="方正仿宋简体" w:cs="Times New Roman"/>
          <w:sz w:val="32"/>
          <w:szCs w:val="32"/>
          <w:u w:val="none"/>
          <w:lang w:val="en-US" w:eastAsia="zh-CN"/>
        </w:rPr>
        <w:t>。</w:t>
      </w:r>
      <w:r>
        <w:rPr>
          <w:rFonts w:hint="default" w:ascii="Times New Roman" w:hAnsi="Times New Roman" w:eastAsia="方正仿宋简体" w:cs="Times New Roman"/>
          <w:sz w:val="32"/>
          <w:szCs w:val="32"/>
          <w:highlight w:val="none"/>
          <w:lang w:val="en-US" w:eastAsia="zh-CN"/>
        </w:rPr>
        <w:t>全区</w:t>
      </w:r>
      <w:r>
        <w:rPr>
          <w:rFonts w:hint="default" w:ascii="Times New Roman" w:hAnsi="Times New Roman" w:eastAsia="方正仿宋简体" w:cs="Times New Roman"/>
          <w:sz w:val="32"/>
          <w:szCs w:val="32"/>
          <w:highlight w:val="none"/>
        </w:rPr>
        <w:t>经济运行</w:t>
      </w:r>
      <w:r>
        <w:rPr>
          <w:rFonts w:hint="default" w:ascii="Times New Roman" w:hAnsi="Times New Roman" w:eastAsia="方正仿宋简体" w:cs="Times New Roman"/>
          <w:sz w:val="32"/>
          <w:szCs w:val="32"/>
          <w:highlight w:val="none"/>
          <w:lang w:val="en-US" w:eastAsia="zh-CN"/>
        </w:rPr>
        <w:t>承压稳进、持续向好</w:t>
      </w:r>
      <w:r>
        <w:rPr>
          <w:rFonts w:hint="default" w:ascii="Times New Roman" w:hAnsi="Times New Roman" w:eastAsia="方正仿宋简体" w:cs="Times New Roman"/>
          <w:sz w:val="32"/>
          <w:szCs w:val="32"/>
          <w:highlight w:val="none"/>
        </w:rPr>
        <w:t>，发展质效稳步提升</w:t>
      </w:r>
      <w:r>
        <w:rPr>
          <w:rFonts w:hint="default" w:ascii="Times New Roman" w:hAnsi="Times New Roman" w:eastAsia="方正仿宋简体" w:cs="Times New Roman"/>
          <w:sz w:val="32"/>
          <w:szCs w:val="32"/>
          <w:highlight w:val="none"/>
          <w:lang w:eastAsia="zh-CN"/>
        </w:rPr>
        <w:t>，</w:t>
      </w:r>
      <w:r>
        <w:rPr>
          <w:rFonts w:hint="default" w:ascii="Times New Roman" w:hAnsi="Times New Roman" w:eastAsia="方正仿宋简体" w:cs="Times New Roman"/>
          <w:sz w:val="32"/>
          <w:szCs w:val="32"/>
          <w:highlight w:val="none"/>
        </w:rPr>
        <w:t>社会大局</w:t>
      </w:r>
      <w:r>
        <w:rPr>
          <w:rFonts w:hint="default" w:ascii="Times New Roman" w:hAnsi="Times New Roman" w:eastAsia="方正仿宋简体" w:cs="Times New Roman"/>
          <w:sz w:val="32"/>
          <w:szCs w:val="32"/>
          <w:highlight w:val="none"/>
          <w:lang w:val="en-US" w:eastAsia="zh-CN"/>
        </w:rPr>
        <w:t>和谐</w:t>
      </w:r>
      <w:r>
        <w:rPr>
          <w:rFonts w:hint="default" w:ascii="Times New Roman" w:hAnsi="Times New Roman" w:eastAsia="方正仿宋简体" w:cs="Times New Roman"/>
          <w:sz w:val="32"/>
          <w:szCs w:val="32"/>
          <w:highlight w:val="none"/>
        </w:rPr>
        <w:t>稳定</w:t>
      </w:r>
      <w:r>
        <w:rPr>
          <w:rFonts w:hint="default" w:ascii="Times New Roman" w:hAnsi="Times New Roman" w:eastAsia="方正仿宋简体" w:cs="Times New Roman"/>
          <w:sz w:val="32"/>
          <w:szCs w:val="32"/>
          <w:highlight w:val="none"/>
          <w:lang w:eastAsia="zh-CN"/>
        </w:rPr>
        <w:t>，</w:t>
      </w:r>
      <w:r>
        <w:rPr>
          <w:rFonts w:hint="default" w:ascii="Times New Roman" w:hAnsi="Times New Roman" w:eastAsia="方正仿宋简体" w:cs="Times New Roman"/>
          <w:sz w:val="32"/>
          <w:szCs w:val="32"/>
          <w:highlight w:val="none"/>
          <w:lang w:val="en-US" w:eastAsia="zh-CN"/>
        </w:rPr>
        <w:t>为“十五五”良好开局打下坚实基础</w:t>
      </w:r>
      <w:r>
        <w:rPr>
          <w:rFonts w:hint="default" w:ascii="Times New Roman" w:hAnsi="Times New Roman" w:eastAsia="方正仿宋简体" w:cs="Times New Roman"/>
          <w:sz w:val="32"/>
          <w:szCs w:val="32"/>
          <w:highlight w:val="none"/>
        </w:rPr>
        <w:t>。</w:t>
      </w:r>
    </w:p>
    <w:p w14:paraId="2CDBA48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楷体简体" w:cs="Times New Roman"/>
          <w:sz w:val="32"/>
          <w:szCs w:val="32"/>
        </w:rPr>
      </w:pPr>
      <w:r>
        <w:rPr>
          <w:rFonts w:hint="default" w:ascii="Times New Roman" w:hAnsi="Times New Roman" w:eastAsia="方正楷体简体" w:cs="Times New Roman"/>
          <w:sz w:val="32"/>
          <w:szCs w:val="32"/>
        </w:rPr>
        <w:t>（一）主要目标完成情况</w:t>
      </w:r>
    </w:p>
    <w:p w14:paraId="64C75FC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rPr>
        <w:t>202</w:t>
      </w:r>
      <w:r>
        <w:rPr>
          <w:rFonts w:hint="eastAsia" w:ascii="Times New Roman" w:hAnsi="Times New Roman" w:eastAsia="方正仿宋简体" w:cs="Times New Roman"/>
          <w:sz w:val="32"/>
          <w:szCs w:val="32"/>
          <w:lang w:val="en-US" w:eastAsia="zh-CN"/>
        </w:rPr>
        <w:t>6</w:t>
      </w:r>
      <w:r>
        <w:rPr>
          <w:rFonts w:hint="default" w:ascii="Times New Roman" w:hAnsi="Times New Roman" w:eastAsia="方正仿宋简体" w:cs="Times New Roman"/>
          <w:sz w:val="32"/>
          <w:szCs w:val="32"/>
        </w:rPr>
        <w:t>年列入区人代会主要指标共六大类</w:t>
      </w:r>
      <w:r>
        <w:rPr>
          <w:rFonts w:hint="eastAsia" w:ascii="Times New Roman" w:hAnsi="Times New Roman" w:eastAsia="方正仿宋简体" w:cs="Times New Roman"/>
          <w:sz w:val="32"/>
          <w:szCs w:val="32"/>
          <w:lang w:val="en-US" w:eastAsia="zh-CN"/>
        </w:rPr>
        <w:t>28</w:t>
      </w:r>
      <w:r>
        <w:rPr>
          <w:rFonts w:hint="default" w:ascii="Times New Roman" w:hAnsi="Times New Roman" w:eastAsia="方正仿宋简体" w:cs="Times New Roman"/>
          <w:sz w:val="32"/>
          <w:szCs w:val="32"/>
        </w:rPr>
        <w:t>项，</w:t>
      </w:r>
      <w:r>
        <w:rPr>
          <w:rFonts w:hint="eastAsia" w:ascii="Times New Roman" w:hAnsi="Times New Roman" w:eastAsia="方正仿宋简体" w:cs="Times New Roman"/>
          <w:sz w:val="32"/>
          <w:szCs w:val="32"/>
        </w:rPr>
        <w:t>上半年总体完成情况较好。</w:t>
      </w:r>
      <w:r>
        <w:rPr>
          <w:rFonts w:hint="eastAsia" w:ascii="Times New Roman" w:hAnsi="Times New Roman" w:eastAsia="方正仿宋简体" w:cs="Times New Roman"/>
          <w:b/>
          <w:bCs/>
          <w:sz w:val="32"/>
          <w:szCs w:val="32"/>
          <w:lang w:val="en-US" w:eastAsia="zh-CN"/>
        </w:rPr>
        <w:t>从23项可获取数据指标来看</w:t>
      </w:r>
      <w:r>
        <w:rPr>
          <w:rFonts w:hint="eastAsia" w:ascii="Times New Roman" w:hAnsi="Times New Roman" w:eastAsia="方正仿宋简体" w:cs="Times New Roman"/>
          <w:sz w:val="32"/>
          <w:szCs w:val="32"/>
          <w:lang w:val="en-US" w:eastAsia="zh-CN"/>
        </w:rPr>
        <w:t>，22</w:t>
      </w:r>
      <w:r>
        <w:rPr>
          <w:rFonts w:hint="eastAsia" w:ascii="Times New Roman" w:hAnsi="Times New Roman" w:eastAsia="方正仿宋简体" w:cs="Times New Roman"/>
          <w:sz w:val="32"/>
          <w:szCs w:val="32"/>
        </w:rPr>
        <w:t>项指标达到或远超序时进度要求</w:t>
      </w:r>
      <w:r>
        <w:rPr>
          <w:rFonts w:hint="eastAsia" w:ascii="Times New Roman" w:hAnsi="Times New Roman" w:eastAsia="方正仿宋简体" w:cs="Times New Roman"/>
          <w:sz w:val="32"/>
          <w:szCs w:val="32"/>
          <w:highlight w:val="none"/>
        </w:rPr>
        <w:t>，地区生产总值增长</w:t>
      </w:r>
      <w:r>
        <w:rPr>
          <w:rFonts w:hint="eastAsia" w:ascii="Times New Roman" w:hAnsi="Times New Roman" w:eastAsia="方正仿宋简体" w:cs="Times New Roman"/>
          <w:sz w:val="32"/>
          <w:szCs w:val="32"/>
          <w:highlight w:val="none"/>
          <w:lang w:val="en-US" w:eastAsia="zh-CN"/>
        </w:rPr>
        <w:t>5.7</w:t>
      </w:r>
      <w:r>
        <w:rPr>
          <w:rFonts w:hint="eastAsia" w:ascii="Times New Roman" w:hAnsi="Times New Roman" w:eastAsia="方正仿宋简体" w:cs="Times New Roman"/>
          <w:sz w:val="32"/>
          <w:szCs w:val="32"/>
          <w:highlight w:val="none"/>
        </w:rPr>
        <w:t>%，</w:t>
      </w:r>
      <w:r>
        <w:rPr>
          <w:rFonts w:hint="eastAsia" w:ascii="Times New Roman" w:hAnsi="Times New Roman" w:eastAsia="方正仿宋简体" w:cs="Times New Roman"/>
          <w:sz w:val="32"/>
          <w:szCs w:val="32"/>
          <w:highlight w:val="none"/>
          <w:lang w:val="en-US" w:eastAsia="zh-CN"/>
        </w:rPr>
        <w:t>连续十个季度排名全市前列，分别高于全国、全省、全市1个、0.5个、0.4个百分点</w:t>
      </w:r>
      <w:r>
        <w:rPr>
          <w:rFonts w:hint="eastAsia" w:ascii="Times New Roman" w:hAnsi="Times New Roman" w:eastAsia="方正仿宋简体" w:cs="Times New Roman"/>
          <w:sz w:val="32"/>
          <w:szCs w:val="32"/>
          <w:highlight w:val="none"/>
        </w:rPr>
        <w:t>；全社会固定资产投资</w:t>
      </w:r>
      <w:r>
        <w:rPr>
          <w:rFonts w:hint="eastAsia" w:ascii="Times New Roman" w:hAnsi="Times New Roman" w:eastAsia="方正仿宋简体" w:cs="Times New Roman"/>
          <w:sz w:val="32"/>
          <w:szCs w:val="32"/>
          <w:highlight w:val="none"/>
          <w:lang w:val="en-US" w:eastAsia="zh-CN"/>
        </w:rPr>
        <w:t>增长2.2%、高于全市14个百分点</w:t>
      </w:r>
      <w:r>
        <w:rPr>
          <w:rFonts w:hint="eastAsia" w:ascii="Times New Roman" w:hAnsi="Times New Roman" w:eastAsia="方正仿宋简体" w:cs="Times New Roman"/>
          <w:sz w:val="32"/>
          <w:szCs w:val="32"/>
          <w:highlight w:val="none"/>
          <w:lang w:eastAsia="zh-CN"/>
        </w:rPr>
        <w:t>；</w:t>
      </w:r>
      <w:r>
        <w:rPr>
          <w:rFonts w:hint="eastAsia" w:ascii="Times New Roman" w:hAnsi="Times New Roman" w:eastAsia="方正仿宋简体" w:cs="Times New Roman"/>
          <w:sz w:val="32"/>
          <w:szCs w:val="32"/>
          <w:highlight w:val="none"/>
          <w:lang w:val="en-US" w:eastAsia="zh-CN"/>
        </w:rPr>
        <w:t>实际利用外资完成0.51亿美元、同比增长971%；培育基础级及以上水平智能工厂143家，完成目标进度75.7%</w:t>
      </w:r>
      <w:r>
        <w:rPr>
          <w:rFonts w:hint="eastAsia" w:ascii="Times New Roman" w:hAnsi="Times New Roman" w:eastAsia="方正仿宋简体" w:cs="Times New Roman"/>
          <w:sz w:val="32"/>
          <w:szCs w:val="32"/>
          <w:lang w:eastAsia="zh-CN"/>
        </w:rPr>
        <w:t>。</w:t>
      </w:r>
      <w:r>
        <w:rPr>
          <w:rFonts w:hint="eastAsia" w:ascii="Times New Roman" w:hAnsi="Times New Roman" w:eastAsia="方正仿宋简体" w:cs="Times New Roman"/>
          <w:b/>
          <w:bCs/>
          <w:sz w:val="32"/>
          <w:szCs w:val="32"/>
        </w:rPr>
        <w:t>从</w:t>
      </w:r>
      <w:r>
        <w:rPr>
          <w:rFonts w:hint="eastAsia" w:ascii="Times New Roman" w:hAnsi="Times New Roman" w:eastAsia="方正仿宋简体" w:cs="Times New Roman"/>
          <w:b/>
          <w:bCs/>
          <w:sz w:val="32"/>
          <w:szCs w:val="32"/>
          <w:lang w:val="en-US" w:eastAsia="zh-CN"/>
        </w:rPr>
        <w:t>5</w:t>
      </w:r>
      <w:r>
        <w:rPr>
          <w:rFonts w:hint="eastAsia" w:ascii="Times New Roman" w:hAnsi="Times New Roman" w:eastAsia="方正仿宋简体" w:cs="Times New Roman"/>
          <w:b/>
          <w:bCs/>
          <w:sz w:val="32"/>
          <w:szCs w:val="32"/>
        </w:rPr>
        <w:t>项年度统计指标来看</w:t>
      </w:r>
      <w:r>
        <w:rPr>
          <w:rFonts w:hint="eastAsia" w:ascii="Times New Roman" w:hAnsi="Times New Roman" w:eastAsia="方正仿宋简体" w:cs="Times New Roman"/>
          <w:sz w:val="32"/>
          <w:szCs w:val="32"/>
        </w:rPr>
        <w:t>，今年以来相关工作推进有力，虽然无法获取半年数据，但均有望顺利完成年度目标。</w:t>
      </w:r>
      <w:r>
        <w:rPr>
          <w:rFonts w:hint="eastAsia" w:ascii="Times New Roman" w:hAnsi="Times New Roman" w:eastAsia="方正仿宋简体" w:cs="Times New Roman"/>
          <w:b/>
          <w:bCs/>
          <w:sz w:val="32"/>
          <w:szCs w:val="32"/>
          <w:lang w:val="en-US" w:eastAsia="zh-CN"/>
        </w:rPr>
        <w:t>从1</w:t>
      </w:r>
      <w:r>
        <w:rPr>
          <w:rFonts w:hint="eastAsia" w:ascii="Times New Roman" w:hAnsi="Times New Roman" w:eastAsia="方正仿宋简体" w:cs="Times New Roman"/>
          <w:b/>
          <w:bCs/>
          <w:sz w:val="32"/>
          <w:szCs w:val="32"/>
        </w:rPr>
        <w:t>项未达进度指标</w:t>
      </w:r>
      <w:r>
        <w:rPr>
          <w:rFonts w:hint="eastAsia" w:ascii="Times New Roman" w:hAnsi="Times New Roman" w:eastAsia="方正仿宋简体" w:cs="Times New Roman"/>
          <w:b/>
          <w:bCs/>
          <w:sz w:val="32"/>
          <w:szCs w:val="32"/>
          <w:lang w:val="en-US" w:eastAsia="zh-CN"/>
        </w:rPr>
        <w:t>看</w:t>
      </w:r>
      <w:r>
        <w:rPr>
          <w:rFonts w:hint="eastAsia" w:ascii="Times New Roman" w:hAnsi="Times New Roman" w:eastAsia="方正仿宋简体" w:cs="Times New Roman"/>
          <w:sz w:val="32"/>
          <w:szCs w:val="32"/>
          <w:lang w:val="en-US" w:eastAsia="zh-CN"/>
        </w:rPr>
        <w:t>，</w:t>
      </w:r>
      <w:r>
        <w:rPr>
          <w:rFonts w:hint="eastAsia" w:ascii="Times New Roman" w:hAnsi="Times New Roman" w:eastAsia="方正仿宋简体" w:cs="Times New Roman"/>
          <w:sz w:val="32"/>
          <w:szCs w:val="32"/>
        </w:rPr>
        <w:t>受基数抬高、重点企业支撑</w:t>
      </w:r>
      <w:r>
        <w:rPr>
          <w:rFonts w:ascii="Times New Roman" w:hAnsi="Times New Roman" w:eastAsia="方正仿宋简体" w:cs="Times New Roman"/>
          <w:sz w:val="32"/>
          <w:szCs w:val="32"/>
        </w:rPr>
        <w:t>等因素影响</w:t>
      </w:r>
      <w:r>
        <w:rPr>
          <w:rFonts w:hint="eastAsia" w:ascii="Times New Roman" w:hAnsi="Times New Roman" w:eastAsia="方正仿宋简体" w:cs="Times New Roman"/>
          <w:sz w:val="32"/>
          <w:szCs w:val="32"/>
        </w:rPr>
        <w:t>，</w:t>
      </w:r>
      <w:r>
        <w:rPr>
          <w:rFonts w:hint="default" w:ascii="Times New Roman" w:hAnsi="Times New Roman" w:eastAsia="方正仿宋简体" w:cs="Times New Roman"/>
          <w:sz w:val="32"/>
          <w:szCs w:val="32"/>
        </w:rPr>
        <w:t>社会消费品零售总额</w:t>
      </w:r>
      <w:r>
        <w:rPr>
          <w:rFonts w:hint="eastAsia" w:ascii="Times New Roman" w:hAnsi="Times New Roman" w:eastAsia="方正仿宋简体" w:cs="Times New Roman"/>
          <w:sz w:val="32"/>
          <w:szCs w:val="32"/>
        </w:rPr>
        <w:t>与序时进度还有一定差距</w:t>
      </w:r>
      <w:r>
        <w:rPr>
          <w:rFonts w:hint="eastAsia" w:ascii="Times New Roman" w:hAnsi="Times New Roman" w:eastAsia="方正仿宋简体" w:cs="Times New Roman"/>
          <w:sz w:val="32"/>
          <w:szCs w:val="32"/>
          <w:lang w:eastAsia="zh-CN"/>
        </w:rPr>
        <w:t>，</w:t>
      </w:r>
      <w:r>
        <w:rPr>
          <w:rFonts w:hint="eastAsia" w:ascii="Times New Roman" w:hAnsi="Times New Roman" w:eastAsia="方正仿宋简体" w:cs="Times New Roman"/>
          <w:sz w:val="32"/>
          <w:szCs w:val="32"/>
          <w:lang w:val="en-US" w:eastAsia="zh-CN"/>
        </w:rPr>
        <w:t>但与市指标基本持平，</w:t>
      </w:r>
      <w:r>
        <w:rPr>
          <w:rFonts w:hint="eastAsia" w:ascii="Times New Roman" w:hAnsi="Times New Roman" w:eastAsia="方正仿宋简体" w:cs="Times New Roman"/>
          <w:sz w:val="32"/>
          <w:szCs w:val="32"/>
        </w:rPr>
        <w:t>下</w:t>
      </w:r>
      <w:r>
        <w:rPr>
          <w:rFonts w:hint="eastAsia" w:ascii="Times New Roman" w:hAnsi="Times New Roman" w:eastAsia="方正仿宋简体" w:cs="Times New Roman"/>
          <w:sz w:val="32"/>
          <w:szCs w:val="32"/>
          <w:lang w:val="en-US" w:eastAsia="zh-CN"/>
        </w:rPr>
        <w:t>一步将</w:t>
      </w:r>
      <w:r>
        <w:rPr>
          <w:rFonts w:hint="eastAsia" w:ascii="Times New Roman" w:hAnsi="Times New Roman" w:eastAsia="方正仿宋简体" w:cs="Times New Roman"/>
          <w:sz w:val="32"/>
          <w:szCs w:val="32"/>
        </w:rPr>
        <w:t>持续缩小与年度目标的差距。</w:t>
      </w:r>
    </w:p>
    <w:p w14:paraId="7BDDB3AC">
      <w:pPr>
        <w:keepNext w:val="0"/>
        <w:keepLines w:val="0"/>
        <w:pageBreakBefore w:val="0"/>
        <w:widowControl w:val="0"/>
        <w:kinsoku/>
        <w:wordWrap/>
        <w:overflowPunct/>
        <w:topLinePunct w:val="0"/>
        <w:autoSpaceDE/>
        <w:autoSpaceDN/>
        <w:bidi w:val="0"/>
        <w:adjustRightInd/>
        <w:snapToGrid/>
        <w:spacing w:after="157" w:afterLines="50" w:line="560" w:lineRule="exact"/>
        <w:jc w:val="center"/>
        <w:textAlignment w:val="auto"/>
        <w:rPr>
          <w:rFonts w:hint="default" w:ascii="Times New Roman" w:hAnsi="Times New Roman" w:eastAsia="方正仿宋简体" w:cs="Times New Roman"/>
          <w:sz w:val="32"/>
          <w:szCs w:val="32"/>
        </w:rPr>
      </w:pPr>
      <w:r>
        <w:rPr>
          <w:rFonts w:hint="default" w:ascii="Times New Roman" w:hAnsi="Times New Roman" w:eastAsia="方正黑体简体" w:cs="Times New Roman"/>
          <w:sz w:val="28"/>
          <w:szCs w:val="28"/>
        </w:rPr>
        <w:t>202</w:t>
      </w:r>
      <w:r>
        <w:rPr>
          <w:rFonts w:hint="eastAsia" w:ascii="Times New Roman" w:hAnsi="Times New Roman" w:eastAsia="方正黑体简体" w:cs="Times New Roman"/>
          <w:sz w:val="28"/>
          <w:szCs w:val="28"/>
          <w:lang w:val="en-US" w:eastAsia="zh-CN"/>
        </w:rPr>
        <w:t>6</w:t>
      </w:r>
      <w:r>
        <w:rPr>
          <w:rFonts w:hint="default" w:ascii="Times New Roman" w:hAnsi="Times New Roman" w:eastAsia="方正黑体简体" w:cs="Times New Roman"/>
          <w:sz w:val="28"/>
          <w:szCs w:val="28"/>
        </w:rPr>
        <w:t>年上半年主要指标完成情况表</w:t>
      </w:r>
    </w:p>
    <w:tbl>
      <w:tblPr>
        <w:tblStyle w:val="5"/>
        <w:tblW w:w="10408" w:type="dxa"/>
        <w:jc w:val="center"/>
        <w:tblBorders>
          <w:top w:val="double" w:color="auto" w:sz="4" w:space="0"/>
          <w:left w:val="none" w:color="auto" w:sz="0" w:space="0"/>
          <w:bottom w:val="dotted" w:color="auto" w:sz="4" w:space="0"/>
          <w:right w:val="none" w:color="auto" w:sz="0" w:space="0"/>
          <w:insideH w:val="none" w:color="auto" w:sz="0" w:space="0"/>
          <w:insideV w:val="none" w:color="auto" w:sz="0" w:space="0"/>
        </w:tblBorders>
        <w:tblLayout w:type="fixed"/>
        <w:tblCellMar>
          <w:top w:w="0" w:type="dxa"/>
          <w:left w:w="57" w:type="dxa"/>
          <w:bottom w:w="0" w:type="dxa"/>
          <w:right w:w="57" w:type="dxa"/>
        </w:tblCellMar>
      </w:tblPr>
      <w:tblGrid>
        <w:gridCol w:w="611"/>
        <w:gridCol w:w="525"/>
        <w:gridCol w:w="3780"/>
        <w:gridCol w:w="718"/>
        <w:gridCol w:w="2198"/>
        <w:gridCol w:w="885"/>
        <w:gridCol w:w="859"/>
        <w:gridCol w:w="832"/>
      </w:tblGrid>
      <w:tr w14:paraId="09EEB18C">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541" w:hRule="atLeast"/>
          <w:tblHeader/>
          <w:jc w:val="center"/>
        </w:trPr>
        <w:tc>
          <w:tcPr>
            <w:tcW w:w="611" w:type="dxa"/>
            <w:tcBorders>
              <w:top w:val="double" w:color="auto" w:sz="4" w:space="0"/>
              <w:left w:val="nil"/>
              <w:bottom w:val="dotted" w:color="auto" w:sz="4" w:space="0"/>
              <w:right w:val="dotted" w:color="auto" w:sz="4" w:space="0"/>
            </w:tcBorders>
            <w:vAlign w:val="center"/>
          </w:tcPr>
          <w:p w14:paraId="0342B57D">
            <w:pPr>
              <w:spacing w:line="240" w:lineRule="exact"/>
              <w:jc w:val="center"/>
              <w:rPr>
                <w:rFonts w:hint="default" w:ascii="Times New Roman" w:hAnsi="Times New Roman" w:eastAsia="方正黑体简体" w:cs="Times New Roman"/>
                <w:sz w:val="20"/>
                <w:szCs w:val="20"/>
              </w:rPr>
            </w:pPr>
            <w:r>
              <w:rPr>
                <w:rFonts w:hint="default" w:ascii="Times New Roman" w:hAnsi="Times New Roman" w:eastAsia="方正黑体简体" w:cs="Times New Roman"/>
                <w:sz w:val="20"/>
                <w:szCs w:val="20"/>
              </w:rPr>
              <w:t>类别</w:t>
            </w:r>
          </w:p>
        </w:tc>
        <w:tc>
          <w:tcPr>
            <w:tcW w:w="525" w:type="dxa"/>
            <w:tcBorders>
              <w:top w:val="double" w:color="auto" w:sz="4" w:space="0"/>
              <w:left w:val="dotted" w:color="auto" w:sz="4" w:space="0"/>
              <w:bottom w:val="dotted" w:color="auto" w:sz="4" w:space="0"/>
              <w:right w:val="dotted" w:color="auto" w:sz="4" w:space="0"/>
            </w:tcBorders>
            <w:vAlign w:val="center"/>
          </w:tcPr>
          <w:p w14:paraId="31393462">
            <w:pPr>
              <w:spacing w:line="240" w:lineRule="exact"/>
              <w:jc w:val="center"/>
              <w:rPr>
                <w:rFonts w:hint="default" w:ascii="Times New Roman" w:hAnsi="Times New Roman" w:eastAsia="方正黑体简体" w:cs="Times New Roman"/>
                <w:sz w:val="20"/>
                <w:szCs w:val="20"/>
              </w:rPr>
            </w:pPr>
            <w:r>
              <w:rPr>
                <w:rFonts w:hint="default" w:ascii="Times New Roman" w:hAnsi="Times New Roman" w:eastAsia="方正黑体简体" w:cs="Times New Roman"/>
                <w:sz w:val="20"/>
                <w:szCs w:val="20"/>
              </w:rPr>
              <w:t>序号</w:t>
            </w:r>
          </w:p>
        </w:tc>
        <w:tc>
          <w:tcPr>
            <w:tcW w:w="3780" w:type="dxa"/>
            <w:tcBorders>
              <w:top w:val="double" w:color="auto" w:sz="4" w:space="0"/>
              <w:left w:val="dotted" w:color="auto" w:sz="4" w:space="0"/>
              <w:bottom w:val="dotted" w:color="auto" w:sz="4" w:space="0"/>
              <w:right w:val="dotted" w:color="auto" w:sz="4" w:space="0"/>
            </w:tcBorders>
            <w:vAlign w:val="center"/>
          </w:tcPr>
          <w:p w14:paraId="7A9B6160">
            <w:pPr>
              <w:spacing w:line="240" w:lineRule="exact"/>
              <w:jc w:val="center"/>
              <w:rPr>
                <w:rFonts w:hint="default" w:ascii="Times New Roman" w:hAnsi="Times New Roman" w:eastAsia="方正黑体简体" w:cs="Times New Roman"/>
                <w:sz w:val="20"/>
                <w:szCs w:val="20"/>
              </w:rPr>
            </w:pPr>
            <w:r>
              <w:rPr>
                <w:rFonts w:hint="default" w:ascii="Times New Roman" w:hAnsi="Times New Roman" w:eastAsia="方正黑体简体" w:cs="Times New Roman"/>
                <w:sz w:val="20"/>
                <w:szCs w:val="20"/>
              </w:rPr>
              <w:t>指标名称</w:t>
            </w:r>
          </w:p>
        </w:tc>
        <w:tc>
          <w:tcPr>
            <w:tcW w:w="718" w:type="dxa"/>
            <w:tcBorders>
              <w:top w:val="double" w:color="auto" w:sz="4" w:space="0"/>
              <w:left w:val="dotted" w:color="auto" w:sz="4" w:space="0"/>
              <w:bottom w:val="dotted" w:color="auto" w:sz="4" w:space="0"/>
              <w:right w:val="dotted" w:color="auto" w:sz="4" w:space="0"/>
            </w:tcBorders>
            <w:vAlign w:val="center"/>
          </w:tcPr>
          <w:p w14:paraId="35F3A58C">
            <w:pPr>
              <w:spacing w:line="240" w:lineRule="exact"/>
              <w:jc w:val="center"/>
              <w:rPr>
                <w:rFonts w:hint="default" w:ascii="Times New Roman" w:hAnsi="Times New Roman" w:eastAsia="方正黑体简体" w:cs="Times New Roman"/>
                <w:sz w:val="20"/>
                <w:szCs w:val="20"/>
              </w:rPr>
            </w:pPr>
            <w:r>
              <w:rPr>
                <w:rFonts w:hint="default" w:ascii="Times New Roman" w:hAnsi="Times New Roman" w:eastAsia="方正黑体简体" w:cs="Times New Roman"/>
                <w:sz w:val="20"/>
                <w:szCs w:val="20"/>
              </w:rPr>
              <w:t>单位</w:t>
            </w:r>
          </w:p>
        </w:tc>
        <w:tc>
          <w:tcPr>
            <w:tcW w:w="2198" w:type="dxa"/>
            <w:tcBorders>
              <w:top w:val="double" w:color="auto" w:sz="4" w:space="0"/>
              <w:left w:val="dotted" w:color="auto" w:sz="4" w:space="0"/>
              <w:bottom w:val="dotted" w:color="auto" w:sz="4" w:space="0"/>
              <w:right w:val="dotted" w:color="auto" w:sz="4" w:space="0"/>
            </w:tcBorders>
            <w:vAlign w:val="center"/>
          </w:tcPr>
          <w:p w14:paraId="5F22C77F">
            <w:pPr>
              <w:spacing w:line="240" w:lineRule="exact"/>
              <w:jc w:val="center"/>
              <w:rPr>
                <w:rFonts w:hint="default" w:ascii="Times New Roman" w:hAnsi="Times New Roman" w:eastAsia="方正黑体简体" w:cs="Times New Roman"/>
                <w:sz w:val="20"/>
                <w:szCs w:val="20"/>
              </w:rPr>
            </w:pPr>
            <w:r>
              <w:rPr>
                <w:rFonts w:hint="default" w:ascii="Times New Roman" w:hAnsi="Times New Roman" w:eastAsia="方正黑体简体" w:cs="Times New Roman"/>
                <w:sz w:val="20"/>
                <w:szCs w:val="20"/>
              </w:rPr>
              <w:t>年度计划</w:t>
            </w:r>
          </w:p>
        </w:tc>
        <w:tc>
          <w:tcPr>
            <w:tcW w:w="885" w:type="dxa"/>
            <w:tcBorders>
              <w:top w:val="double" w:color="auto" w:sz="4" w:space="0"/>
              <w:left w:val="dotted" w:color="auto" w:sz="4" w:space="0"/>
              <w:right w:val="nil"/>
            </w:tcBorders>
            <w:vAlign w:val="center"/>
          </w:tcPr>
          <w:p w14:paraId="50D492AE">
            <w:pPr>
              <w:spacing w:line="240" w:lineRule="exact"/>
              <w:jc w:val="center"/>
              <w:rPr>
                <w:rFonts w:hint="default" w:ascii="Times New Roman" w:hAnsi="Times New Roman" w:eastAsia="方正黑体简体" w:cs="Times New Roman"/>
                <w:sz w:val="20"/>
                <w:szCs w:val="20"/>
              </w:rPr>
            </w:pPr>
            <w:r>
              <w:rPr>
                <w:rFonts w:hint="default" w:ascii="Times New Roman" w:hAnsi="Times New Roman" w:eastAsia="方正黑体简体" w:cs="Times New Roman"/>
                <w:sz w:val="20"/>
                <w:szCs w:val="20"/>
              </w:rPr>
              <w:t>实绩</w:t>
            </w:r>
          </w:p>
        </w:tc>
        <w:tc>
          <w:tcPr>
            <w:tcW w:w="859" w:type="dxa"/>
            <w:tcBorders>
              <w:top w:val="double" w:color="auto" w:sz="4" w:space="0"/>
              <w:left w:val="dotted" w:color="auto" w:sz="4" w:space="0"/>
              <w:right w:val="nil"/>
            </w:tcBorders>
            <w:vAlign w:val="center"/>
          </w:tcPr>
          <w:p w14:paraId="3BC6131F">
            <w:pPr>
              <w:spacing w:line="240" w:lineRule="exact"/>
              <w:jc w:val="center"/>
              <w:rPr>
                <w:rFonts w:hint="eastAsia" w:ascii="Times New Roman" w:hAnsi="Times New Roman" w:eastAsia="方正黑体简体" w:cs="Times New Roman"/>
                <w:sz w:val="20"/>
                <w:szCs w:val="20"/>
                <w:lang w:eastAsia="zh-CN"/>
              </w:rPr>
            </w:pPr>
            <w:r>
              <w:rPr>
                <w:rFonts w:hint="default" w:ascii="Times New Roman" w:hAnsi="Times New Roman" w:eastAsia="方正黑体简体" w:cs="Times New Roman"/>
                <w:sz w:val="20"/>
                <w:szCs w:val="20"/>
              </w:rPr>
              <w:t>增</w:t>
            </w:r>
            <w:r>
              <w:rPr>
                <w:rFonts w:hint="eastAsia" w:ascii="Times New Roman" w:hAnsi="Times New Roman" w:eastAsia="方正黑体简体" w:cs="Times New Roman"/>
                <w:sz w:val="20"/>
                <w:szCs w:val="20"/>
                <w:lang w:val="en-US" w:eastAsia="zh-CN"/>
              </w:rPr>
              <w:t>速</w:t>
            </w:r>
          </w:p>
          <w:p w14:paraId="6FA93059">
            <w:pPr>
              <w:spacing w:line="240" w:lineRule="exact"/>
              <w:jc w:val="center"/>
              <w:rPr>
                <w:rFonts w:hint="default" w:ascii="Times New Roman" w:hAnsi="Times New Roman" w:eastAsia="方正黑体简体" w:cs="Times New Roman"/>
                <w:sz w:val="20"/>
                <w:szCs w:val="20"/>
              </w:rPr>
            </w:pPr>
            <w:r>
              <w:rPr>
                <w:rFonts w:hint="default" w:ascii="Times New Roman" w:hAnsi="Times New Roman" w:eastAsia="方正黑体简体" w:cs="Times New Roman"/>
                <w:sz w:val="20"/>
                <w:szCs w:val="20"/>
              </w:rPr>
              <w:t>（%）</w:t>
            </w:r>
          </w:p>
        </w:tc>
        <w:tc>
          <w:tcPr>
            <w:tcW w:w="832" w:type="dxa"/>
            <w:tcBorders>
              <w:top w:val="double" w:color="auto" w:sz="4" w:space="0"/>
              <w:left w:val="dotted" w:color="auto" w:sz="4" w:space="0"/>
              <w:bottom w:val="dotted" w:color="auto" w:sz="4" w:space="0"/>
              <w:right w:val="nil"/>
            </w:tcBorders>
            <w:vAlign w:val="center"/>
          </w:tcPr>
          <w:p w14:paraId="1D2B2807">
            <w:pPr>
              <w:spacing w:line="240" w:lineRule="exact"/>
              <w:jc w:val="center"/>
              <w:rPr>
                <w:rFonts w:hint="default" w:ascii="Times New Roman" w:hAnsi="Times New Roman" w:eastAsia="方正黑体简体" w:cs="Times New Roman"/>
                <w:sz w:val="20"/>
                <w:szCs w:val="20"/>
              </w:rPr>
            </w:pPr>
            <w:r>
              <w:rPr>
                <w:rFonts w:hint="default" w:ascii="Times New Roman" w:hAnsi="Times New Roman" w:eastAsia="方正黑体简体" w:cs="Times New Roman"/>
                <w:sz w:val="20"/>
                <w:szCs w:val="20"/>
              </w:rPr>
              <w:t>是否</w:t>
            </w:r>
          </w:p>
          <w:p w14:paraId="422827E5">
            <w:pPr>
              <w:spacing w:line="240" w:lineRule="exact"/>
              <w:jc w:val="center"/>
              <w:rPr>
                <w:rFonts w:hint="default" w:ascii="Times New Roman" w:hAnsi="Times New Roman" w:eastAsia="方正黑体简体" w:cs="Times New Roman"/>
                <w:sz w:val="20"/>
                <w:szCs w:val="20"/>
              </w:rPr>
            </w:pPr>
            <w:r>
              <w:rPr>
                <w:rFonts w:hint="default" w:ascii="Times New Roman" w:hAnsi="Times New Roman" w:eastAsia="方正黑体简体" w:cs="Times New Roman"/>
                <w:sz w:val="20"/>
                <w:szCs w:val="20"/>
              </w:rPr>
              <w:t>达进度</w:t>
            </w:r>
          </w:p>
        </w:tc>
      </w:tr>
      <w:tr w14:paraId="0B00B514">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510" w:hRule="exact"/>
          <w:jc w:val="center"/>
        </w:trPr>
        <w:tc>
          <w:tcPr>
            <w:tcW w:w="611" w:type="dxa"/>
            <w:vMerge w:val="restart"/>
            <w:tcBorders>
              <w:top w:val="dotted" w:color="auto" w:sz="4" w:space="0"/>
              <w:left w:val="nil"/>
              <w:right w:val="dotted" w:color="auto" w:sz="4" w:space="0"/>
            </w:tcBorders>
            <w:vAlign w:val="center"/>
          </w:tcPr>
          <w:p w14:paraId="1D079C47">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经济发展</w:t>
            </w:r>
          </w:p>
        </w:tc>
        <w:tc>
          <w:tcPr>
            <w:tcW w:w="525" w:type="dxa"/>
            <w:tcBorders>
              <w:top w:val="dotted" w:color="auto" w:sz="4" w:space="0"/>
              <w:left w:val="dotted" w:color="auto" w:sz="4" w:space="0"/>
              <w:bottom w:val="dotted" w:color="auto" w:sz="4" w:space="0"/>
              <w:right w:val="dotted" w:color="auto" w:sz="4" w:space="0"/>
            </w:tcBorders>
            <w:vAlign w:val="center"/>
          </w:tcPr>
          <w:p w14:paraId="480319AC">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1</w:t>
            </w:r>
          </w:p>
        </w:tc>
        <w:tc>
          <w:tcPr>
            <w:tcW w:w="3780" w:type="dxa"/>
            <w:tcBorders>
              <w:top w:val="dotted" w:color="auto" w:sz="4" w:space="0"/>
              <w:left w:val="dotted" w:color="auto" w:sz="4" w:space="0"/>
              <w:bottom w:val="dotted" w:color="auto" w:sz="4" w:space="0"/>
              <w:right w:val="dotted" w:color="auto" w:sz="4" w:space="0"/>
            </w:tcBorders>
            <w:vAlign w:val="center"/>
          </w:tcPr>
          <w:p w14:paraId="39FCB912">
            <w:pPr>
              <w:spacing w:line="240" w:lineRule="exact"/>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地区生产总值</w:t>
            </w:r>
          </w:p>
        </w:tc>
        <w:tc>
          <w:tcPr>
            <w:tcW w:w="718" w:type="dxa"/>
            <w:tcBorders>
              <w:top w:val="dotted" w:color="auto" w:sz="4" w:space="0"/>
              <w:left w:val="dotted" w:color="auto" w:sz="4" w:space="0"/>
              <w:bottom w:val="dotted" w:color="auto" w:sz="4" w:space="0"/>
              <w:right w:val="dotted" w:color="auto" w:sz="4" w:space="0"/>
            </w:tcBorders>
            <w:vAlign w:val="center"/>
          </w:tcPr>
          <w:p w14:paraId="2F54BC5C">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亿元</w:t>
            </w:r>
          </w:p>
        </w:tc>
        <w:tc>
          <w:tcPr>
            <w:tcW w:w="2198" w:type="dxa"/>
            <w:tcBorders>
              <w:top w:val="dotted" w:color="auto" w:sz="4" w:space="0"/>
              <w:left w:val="dotted" w:color="auto" w:sz="4" w:space="0"/>
              <w:bottom w:val="dotted" w:color="auto" w:sz="4" w:space="0"/>
              <w:right w:val="dotted" w:color="auto" w:sz="4" w:space="0"/>
            </w:tcBorders>
            <w:vAlign w:val="center"/>
          </w:tcPr>
          <w:p w14:paraId="2ACA6705">
            <w:pPr>
              <w:spacing w:line="240" w:lineRule="exact"/>
              <w:jc w:val="center"/>
              <w:rPr>
                <w:rFonts w:hint="eastAsia" w:ascii="Times New Roman" w:hAnsi="Times New Roman" w:eastAsia="方正仿宋简体" w:cs="Times New Roman"/>
                <w:sz w:val="20"/>
                <w:szCs w:val="20"/>
                <w:lang w:eastAsia="zh-CN"/>
              </w:rPr>
            </w:pPr>
            <w:r>
              <w:rPr>
                <w:rFonts w:hint="default" w:ascii="Times New Roman" w:hAnsi="Times New Roman" w:eastAsia="方正仿宋简体" w:cs="Times New Roman"/>
                <w:sz w:val="20"/>
                <w:szCs w:val="20"/>
              </w:rPr>
              <w:t>增长5.5%</w:t>
            </w:r>
            <w:r>
              <w:rPr>
                <w:rFonts w:hint="eastAsia" w:ascii="Times New Roman" w:hAnsi="Times New Roman" w:eastAsia="方正仿宋简体" w:cs="Times New Roman"/>
                <w:sz w:val="20"/>
                <w:szCs w:val="20"/>
                <w:lang w:eastAsia="zh-CN"/>
              </w:rPr>
              <w:t>、</w:t>
            </w:r>
          </w:p>
          <w:p w14:paraId="60CAE093">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力争更好的结果</w:t>
            </w:r>
          </w:p>
        </w:tc>
        <w:tc>
          <w:tcPr>
            <w:tcW w:w="885" w:type="dxa"/>
            <w:tcBorders>
              <w:top w:val="dotted" w:color="auto" w:sz="4" w:space="0"/>
              <w:left w:val="dotted" w:color="auto" w:sz="4" w:space="0"/>
              <w:bottom w:val="dotted" w:color="auto" w:sz="4" w:space="0"/>
              <w:right w:val="dotted" w:color="auto" w:sz="4" w:space="0"/>
            </w:tcBorders>
            <w:vAlign w:val="center"/>
          </w:tcPr>
          <w:p w14:paraId="6216485C">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348.17</w:t>
            </w:r>
          </w:p>
        </w:tc>
        <w:tc>
          <w:tcPr>
            <w:tcW w:w="859" w:type="dxa"/>
            <w:tcBorders>
              <w:top w:val="dotted" w:color="auto" w:sz="4" w:space="0"/>
              <w:left w:val="dotted" w:color="auto" w:sz="4" w:space="0"/>
              <w:bottom w:val="dotted" w:color="auto" w:sz="4" w:space="0"/>
              <w:right w:val="dotted" w:color="auto" w:sz="4" w:space="0"/>
            </w:tcBorders>
            <w:vAlign w:val="center"/>
          </w:tcPr>
          <w:p w14:paraId="0BE2CCEA">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5.7</w:t>
            </w:r>
          </w:p>
        </w:tc>
        <w:tc>
          <w:tcPr>
            <w:tcW w:w="832" w:type="dxa"/>
            <w:tcBorders>
              <w:top w:val="dotted" w:color="auto" w:sz="4" w:space="0"/>
              <w:left w:val="dotted" w:color="auto" w:sz="4" w:space="0"/>
              <w:bottom w:val="dotted" w:color="auto" w:sz="4" w:space="0"/>
              <w:right w:val="nil"/>
            </w:tcBorders>
            <w:vAlign w:val="center"/>
          </w:tcPr>
          <w:p w14:paraId="16DBD82B">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是</w:t>
            </w:r>
          </w:p>
        </w:tc>
      </w:tr>
      <w:tr w14:paraId="61447A03">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454" w:hRule="exact"/>
          <w:jc w:val="center"/>
        </w:trPr>
        <w:tc>
          <w:tcPr>
            <w:tcW w:w="611" w:type="dxa"/>
            <w:vMerge w:val="continue"/>
            <w:tcBorders>
              <w:left w:val="nil"/>
              <w:right w:val="dotted" w:color="auto" w:sz="4" w:space="0"/>
            </w:tcBorders>
            <w:vAlign w:val="center"/>
          </w:tcPr>
          <w:p w14:paraId="352F705F">
            <w:pPr>
              <w:spacing w:line="240" w:lineRule="exact"/>
              <w:jc w:val="center"/>
              <w:rPr>
                <w:rFonts w:hint="default" w:ascii="Times New Roman" w:hAnsi="Times New Roman" w:eastAsia="方正仿宋简体" w:cs="Times New Roman"/>
                <w:sz w:val="20"/>
                <w:szCs w:val="20"/>
              </w:rPr>
            </w:pPr>
          </w:p>
        </w:tc>
        <w:tc>
          <w:tcPr>
            <w:tcW w:w="525" w:type="dxa"/>
            <w:tcBorders>
              <w:top w:val="dotted" w:color="auto" w:sz="4" w:space="0"/>
              <w:left w:val="dotted" w:color="auto" w:sz="4" w:space="0"/>
              <w:bottom w:val="dotted" w:color="auto" w:sz="4" w:space="0"/>
              <w:right w:val="dotted" w:color="auto" w:sz="4" w:space="0"/>
            </w:tcBorders>
            <w:vAlign w:val="center"/>
          </w:tcPr>
          <w:p w14:paraId="77F6B783">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2</w:t>
            </w:r>
          </w:p>
        </w:tc>
        <w:tc>
          <w:tcPr>
            <w:tcW w:w="3780" w:type="dxa"/>
            <w:tcBorders>
              <w:top w:val="dotted" w:color="auto" w:sz="4" w:space="0"/>
              <w:left w:val="dotted" w:color="auto" w:sz="4" w:space="0"/>
              <w:bottom w:val="dotted" w:color="auto" w:sz="4" w:space="0"/>
              <w:right w:val="dotted" w:color="auto" w:sz="4" w:space="0"/>
            </w:tcBorders>
            <w:vAlign w:val="center"/>
          </w:tcPr>
          <w:p w14:paraId="4EEB15F9">
            <w:pPr>
              <w:spacing w:line="240" w:lineRule="exact"/>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全社会固定资产投资</w:t>
            </w:r>
          </w:p>
        </w:tc>
        <w:tc>
          <w:tcPr>
            <w:tcW w:w="718" w:type="dxa"/>
            <w:tcBorders>
              <w:top w:val="dotted" w:color="auto" w:sz="4" w:space="0"/>
              <w:left w:val="dotted" w:color="auto" w:sz="4" w:space="0"/>
              <w:bottom w:val="dotted" w:color="auto" w:sz="4" w:space="0"/>
              <w:right w:val="dotted" w:color="auto" w:sz="4" w:space="0"/>
            </w:tcBorders>
            <w:vAlign w:val="center"/>
          </w:tcPr>
          <w:p w14:paraId="2BB6D530">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亿元</w:t>
            </w:r>
          </w:p>
        </w:tc>
        <w:tc>
          <w:tcPr>
            <w:tcW w:w="2198" w:type="dxa"/>
            <w:tcBorders>
              <w:top w:val="dotted" w:color="auto" w:sz="4" w:space="0"/>
              <w:left w:val="dotted" w:color="auto" w:sz="4" w:space="0"/>
              <w:bottom w:val="dotted" w:color="auto" w:sz="4" w:space="0"/>
              <w:right w:val="dotted" w:color="auto" w:sz="4" w:space="0"/>
            </w:tcBorders>
            <w:vAlign w:val="center"/>
          </w:tcPr>
          <w:p w14:paraId="201D6336">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增速高于全市平均水平</w:t>
            </w:r>
          </w:p>
        </w:tc>
        <w:tc>
          <w:tcPr>
            <w:tcW w:w="885" w:type="dxa"/>
            <w:tcBorders>
              <w:top w:val="dotted" w:color="auto" w:sz="4" w:space="0"/>
              <w:left w:val="dotted" w:color="auto" w:sz="4" w:space="0"/>
              <w:bottom w:val="dotted" w:color="auto" w:sz="4" w:space="0"/>
              <w:right w:val="dotted" w:color="auto" w:sz="4" w:space="0"/>
            </w:tcBorders>
            <w:vAlign w:val="center"/>
          </w:tcPr>
          <w:p w14:paraId="2273E11E">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150.99</w:t>
            </w:r>
          </w:p>
        </w:tc>
        <w:tc>
          <w:tcPr>
            <w:tcW w:w="859" w:type="dxa"/>
            <w:tcBorders>
              <w:top w:val="dotted" w:color="auto" w:sz="4" w:space="0"/>
              <w:left w:val="dotted" w:color="auto" w:sz="4" w:space="0"/>
              <w:bottom w:val="dotted" w:color="auto" w:sz="4" w:space="0"/>
              <w:right w:val="dotted" w:color="auto" w:sz="4" w:space="0"/>
            </w:tcBorders>
            <w:vAlign w:val="center"/>
          </w:tcPr>
          <w:p w14:paraId="528FEED9">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2.2</w:t>
            </w:r>
          </w:p>
        </w:tc>
        <w:tc>
          <w:tcPr>
            <w:tcW w:w="832" w:type="dxa"/>
            <w:tcBorders>
              <w:top w:val="dotted" w:color="auto" w:sz="4" w:space="0"/>
              <w:left w:val="dotted" w:color="auto" w:sz="4" w:space="0"/>
              <w:bottom w:val="dotted" w:color="auto" w:sz="4" w:space="0"/>
              <w:right w:val="nil"/>
            </w:tcBorders>
            <w:vAlign w:val="center"/>
          </w:tcPr>
          <w:p w14:paraId="76CAE873">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是</w:t>
            </w:r>
          </w:p>
        </w:tc>
      </w:tr>
      <w:tr w14:paraId="64609699">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454" w:hRule="exact"/>
          <w:jc w:val="center"/>
        </w:trPr>
        <w:tc>
          <w:tcPr>
            <w:tcW w:w="611" w:type="dxa"/>
            <w:vMerge w:val="continue"/>
            <w:tcBorders>
              <w:left w:val="nil"/>
              <w:right w:val="dotted" w:color="auto" w:sz="4" w:space="0"/>
            </w:tcBorders>
            <w:vAlign w:val="center"/>
          </w:tcPr>
          <w:p w14:paraId="1B09B735">
            <w:pPr>
              <w:spacing w:line="240" w:lineRule="exact"/>
              <w:jc w:val="center"/>
              <w:rPr>
                <w:rFonts w:hint="default" w:ascii="Times New Roman" w:hAnsi="Times New Roman" w:eastAsia="方正仿宋简体" w:cs="Times New Roman"/>
                <w:sz w:val="20"/>
                <w:szCs w:val="20"/>
              </w:rPr>
            </w:pPr>
          </w:p>
        </w:tc>
        <w:tc>
          <w:tcPr>
            <w:tcW w:w="525" w:type="dxa"/>
            <w:tcBorders>
              <w:top w:val="dotted" w:color="auto" w:sz="4" w:space="0"/>
              <w:left w:val="dotted" w:color="auto" w:sz="4" w:space="0"/>
              <w:bottom w:val="dotted" w:color="auto" w:sz="4" w:space="0"/>
              <w:right w:val="dotted" w:color="auto" w:sz="4" w:space="0"/>
            </w:tcBorders>
            <w:vAlign w:val="center"/>
          </w:tcPr>
          <w:p w14:paraId="2F49A7C7">
            <w:pPr>
              <w:spacing w:line="240" w:lineRule="exact"/>
              <w:jc w:val="center"/>
              <w:rPr>
                <w:rFonts w:hint="eastAsia"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3</w:t>
            </w:r>
          </w:p>
        </w:tc>
        <w:tc>
          <w:tcPr>
            <w:tcW w:w="3780" w:type="dxa"/>
            <w:tcBorders>
              <w:top w:val="dotted" w:color="auto" w:sz="4" w:space="0"/>
              <w:left w:val="dotted" w:color="auto" w:sz="4" w:space="0"/>
              <w:bottom w:val="dotted" w:color="auto" w:sz="4" w:space="0"/>
              <w:right w:val="dotted" w:color="auto" w:sz="4" w:space="0"/>
            </w:tcBorders>
            <w:shd w:val="clear" w:color="auto" w:fill="auto"/>
            <w:vAlign w:val="center"/>
          </w:tcPr>
          <w:p w14:paraId="1F7087BD">
            <w:pPr>
              <w:spacing w:line="240" w:lineRule="exact"/>
              <w:rPr>
                <w:rFonts w:hint="default" w:ascii="Times New Roman" w:hAnsi="Times New Roman" w:eastAsia="方正仿宋简体" w:cs="Times New Roman"/>
                <w:kern w:val="2"/>
                <w:sz w:val="20"/>
                <w:szCs w:val="20"/>
                <w:lang w:val="en-US" w:eastAsia="zh-CN" w:bidi="ar-SA"/>
              </w:rPr>
            </w:pPr>
            <w:r>
              <w:rPr>
                <w:rFonts w:hint="default" w:ascii="Times New Roman" w:hAnsi="Times New Roman" w:eastAsia="方正仿宋简体" w:cs="Times New Roman"/>
                <w:sz w:val="20"/>
                <w:szCs w:val="20"/>
              </w:rPr>
              <w:t>一般公共预算收入</w:t>
            </w:r>
          </w:p>
        </w:tc>
        <w:tc>
          <w:tcPr>
            <w:tcW w:w="718" w:type="dxa"/>
            <w:tcBorders>
              <w:top w:val="dotted" w:color="auto" w:sz="4" w:space="0"/>
              <w:left w:val="dotted" w:color="auto" w:sz="4" w:space="0"/>
              <w:bottom w:val="dotted" w:color="auto" w:sz="4" w:space="0"/>
              <w:right w:val="dotted" w:color="auto" w:sz="4" w:space="0"/>
            </w:tcBorders>
            <w:shd w:val="clear" w:color="auto" w:fill="auto"/>
            <w:vAlign w:val="center"/>
          </w:tcPr>
          <w:p w14:paraId="534256E5">
            <w:pPr>
              <w:spacing w:line="240" w:lineRule="exact"/>
              <w:jc w:val="center"/>
              <w:rPr>
                <w:rFonts w:hint="default" w:ascii="Times New Roman" w:hAnsi="Times New Roman" w:eastAsia="方正仿宋简体" w:cs="Times New Roman"/>
                <w:kern w:val="2"/>
                <w:sz w:val="20"/>
                <w:szCs w:val="20"/>
                <w:lang w:val="en-US" w:eastAsia="zh-CN" w:bidi="ar-SA"/>
              </w:rPr>
            </w:pPr>
            <w:r>
              <w:rPr>
                <w:rFonts w:hint="default" w:ascii="Times New Roman" w:hAnsi="Times New Roman" w:eastAsia="方正仿宋简体" w:cs="Times New Roman"/>
                <w:sz w:val="20"/>
                <w:szCs w:val="20"/>
              </w:rPr>
              <w:t>亿元</w:t>
            </w:r>
          </w:p>
        </w:tc>
        <w:tc>
          <w:tcPr>
            <w:tcW w:w="2198" w:type="dxa"/>
            <w:tcBorders>
              <w:top w:val="dotted" w:color="auto" w:sz="4" w:space="0"/>
              <w:left w:val="dotted" w:color="auto" w:sz="4" w:space="0"/>
              <w:bottom w:val="dotted" w:color="auto" w:sz="4" w:space="0"/>
              <w:right w:val="dotted" w:color="auto" w:sz="4" w:space="0"/>
            </w:tcBorders>
            <w:shd w:val="clear" w:color="auto" w:fill="auto"/>
            <w:vAlign w:val="center"/>
          </w:tcPr>
          <w:p w14:paraId="2CD5EFE4">
            <w:pPr>
              <w:spacing w:line="240" w:lineRule="exact"/>
              <w:jc w:val="center"/>
              <w:rPr>
                <w:rFonts w:hint="default" w:ascii="Times New Roman" w:hAnsi="Times New Roman" w:eastAsia="方正仿宋简体" w:cs="Times New Roman"/>
                <w:kern w:val="2"/>
                <w:sz w:val="20"/>
                <w:szCs w:val="20"/>
                <w:lang w:val="en-US" w:eastAsia="zh-CN" w:bidi="ar-SA"/>
              </w:rPr>
            </w:pPr>
            <w:r>
              <w:rPr>
                <w:rFonts w:hint="default" w:ascii="Times New Roman" w:hAnsi="Times New Roman" w:eastAsia="方正仿宋简体" w:cs="Times New Roman"/>
                <w:sz w:val="20"/>
                <w:szCs w:val="20"/>
              </w:rPr>
              <w:t>增长2%左右</w:t>
            </w:r>
          </w:p>
        </w:tc>
        <w:tc>
          <w:tcPr>
            <w:tcW w:w="885" w:type="dxa"/>
            <w:tcBorders>
              <w:top w:val="dotted" w:color="auto" w:sz="4" w:space="0"/>
              <w:left w:val="dotted" w:color="auto" w:sz="4" w:space="0"/>
              <w:bottom w:val="dotted" w:color="auto" w:sz="4" w:space="0"/>
              <w:right w:val="dotted" w:color="auto" w:sz="4" w:space="0"/>
            </w:tcBorders>
            <w:vAlign w:val="center"/>
          </w:tcPr>
          <w:p w14:paraId="55C32EAB">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29.95</w:t>
            </w:r>
          </w:p>
        </w:tc>
        <w:tc>
          <w:tcPr>
            <w:tcW w:w="859" w:type="dxa"/>
            <w:tcBorders>
              <w:top w:val="dotted" w:color="auto" w:sz="4" w:space="0"/>
              <w:left w:val="dotted" w:color="auto" w:sz="4" w:space="0"/>
              <w:bottom w:val="dotted" w:color="auto" w:sz="4" w:space="0"/>
              <w:right w:val="dotted" w:color="auto" w:sz="4" w:space="0"/>
            </w:tcBorders>
            <w:vAlign w:val="center"/>
          </w:tcPr>
          <w:p w14:paraId="374DF9B0">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2.4</w:t>
            </w:r>
          </w:p>
        </w:tc>
        <w:tc>
          <w:tcPr>
            <w:tcW w:w="832" w:type="dxa"/>
            <w:tcBorders>
              <w:top w:val="dotted" w:color="auto" w:sz="4" w:space="0"/>
              <w:left w:val="dotted" w:color="auto" w:sz="4" w:space="0"/>
              <w:bottom w:val="dotted" w:color="auto" w:sz="4" w:space="0"/>
              <w:right w:val="nil"/>
            </w:tcBorders>
            <w:vAlign w:val="center"/>
          </w:tcPr>
          <w:p w14:paraId="0242B287">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是</w:t>
            </w:r>
          </w:p>
        </w:tc>
      </w:tr>
      <w:tr w14:paraId="75815E99">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454" w:hRule="exact"/>
          <w:jc w:val="center"/>
        </w:trPr>
        <w:tc>
          <w:tcPr>
            <w:tcW w:w="611" w:type="dxa"/>
            <w:vMerge w:val="continue"/>
            <w:tcBorders>
              <w:left w:val="nil"/>
              <w:right w:val="dotted" w:color="auto" w:sz="4" w:space="0"/>
            </w:tcBorders>
            <w:vAlign w:val="center"/>
          </w:tcPr>
          <w:p w14:paraId="0AECB171">
            <w:pPr>
              <w:spacing w:line="240" w:lineRule="exact"/>
              <w:jc w:val="center"/>
              <w:rPr>
                <w:rFonts w:hint="default" w:ascii="Times New Roman" w:hAnsi="Times New Roman" w:eastAsia="方正仿宋简体" w:cs="Times New Roman"/>
                <w:sz w:val="20"/>
                <w:szCs w:val="20"/>
              </w:rPr>
            </w:pPr>
          </w:p>
        </w:tc>
        <w:tc>
          <w:tcPr>
            <w:tcW w:w="525" w:type="dxa"/>
            <w:tcBorders>
              <w:top w:val="dotted" w:color="auto" w:sz="4" w:space="0"/>
              <w:left w:val="dotted" w:color="auto" w:sz="4" w:space="0"/>
              <w:bottom w:val="dotted" w:color="auto" w:sz="4" w:space="0"/>
              <w:right w:val="dotted" w:color="auto" w:sz="4" w:space="0"/>
            </w:tcBorders>
            <w:vAlign w:val="center"/>
          </w:tcPr>
          <w:p w14:paraId="5EC6383B">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val="en-US" w:eastAsia="zh-CN"/>
              </w:rPr>
              <w:t>4</w:t>
            </w:r>
          </w:p>
        </w:tc>
        <w:tc>
          <w:tcPr>
            <w:tcW w:w="3780" w:type="dxa"/>
            <w:tcBorders>
              <w:top w:val="dotted" w:color="auto" w:sz="4" w:space="0"/>
              <w:left w:val="dotted" w:color="auto" w:sz="4" w:space="0"/>
              <w:bottom w:val="dotted" w:color="auto" w:sz="4" w:space="0"/>
              <w:right w:val="dotted" w:color="auto" w:sz="4" w:space="0"/>
            </w:tcBorders>
            <w:vAlign w:val="center"/>
          </w:tcPr>
          <w:p w14:paraId="75681050">
            <w:pPr>
              <w:spacing w:line="240" w:lineRule="exact"/>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社会消费品零售总额</w:t>
            </w:r>
          </w:p>
        </w:tc>
        <w:tc>
          <w:tcPr>
            <w:tcW w:w="718" w:type="dxa"/>
            <w:tcBorders>
              <w:top w:val="dotted" w:color="auto" w:sz="4" w:space="0"/>
              <w:left w:val="dotted" w:color="auto" w:sz="4" w:space="0"/>
              <w:bottom w:val="dotted" w:color="auto" w:sz="4" w:space="0"/>
              <w:right w:val="dotted" w:color="auto" w:sz="4" w:space="0"/>
            </w:tcBorders>
            <w:vAlign w:val="center"/>
          </w:tcPr>
          <w:p w14:paraId="3446C7F2">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亿元</w:t>
            </w:r>
          </w:p>
        </w:tc>
        <w:tc>
          <w:tcPr>
            <w:tcW w:w="2198" w:type="dxa"/>
            <w:tcBorders>
              <w:top w:val="dotted" w:color="auto" w:sz="4" w:space="0"/>
              <w:left w:val="dotted" w:color="auto" w:sz="4" w:space="0"/>
              <w:bottom w:val="dotted" w:color="auto" w:sz="4" w:space="0"/>
              <w:right w:val="dotted" w:color="auto" w:sz="4" w:space="0"/>
            </w:tcBorders>
            <w:vAlign w:val="center"/>
          </w:tcPr>
          <w:p w14:paraId="1A71648F">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增长6%</w:t>
            </w:r>
          </w:p>
        </w:tc>
        <w:tc>
          <w:tcPr>
            <w:tcW w:w="885" w:type="dxa"/>
            <w:tcBorders>
              <w:top w:val="dotted" w:color="auto" w:sz="4" w:space="0"/>
              <w:left w:val="dotted" w:color="auto" w:sz="4" w:space="0"/>
              <w:bottom w:val="dotted" w:color="auto" w:sz="4" w:space="0"/>
              <w:right w:val="dotted" w:color="auto" w:sz="4" w:space="0"/>
            </w:tcBorders>
            <w:vAlign w:val="center"/>
          </w:tcPr>
          <w:p w14:paraId="0B2B8D08">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196.01</w:t>
            </w:r>
          </w:p>
        </w:tc>
        <w:tc>
          <w:tcPr>
            <w:tcW w:w="859" w:type="dxa"/>
            <w:tcBorders>
              <w:top w:val="dotted" w:color="auto" w:sz="4" w:space="0"/>
              <w:left w:val="dotted" w:color="auto" w:sz="4" w:space="0"/>
              <w:bottom w:val="dotted" w:color="auto" w:sz="4" w:space="0"/>
              <w:right w:val="dotted" w:color="auto" w:sz="4" w:space="0"/>
            </w:tcBorders>
            <w:vAlign w:val="center"/>
          </w:tcPr>
          <w:p w14:paraId="20CE1F89">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-1.2</w:t>
            </w:r>
          </w:p>
        </w:tc>
        <w:tc>
          <w:tcPr>
            <w:tcW w:w="832" w:type="dxa"/>
            <w:tcBorders>
              <w:top w:val="dotted" w:color="auto" w:sz="4" w:space="0"/>
              <w:left w:val="dotted" w:color="auto" w:sz="4" w:space="0"/>
              <w:bottom w:val="dotted" w:color="auto" w:sz="4" w:space="0"/>
              <w:right w:val="nil"/>
            </w:tcBorders>
            <w:vAlign w:val="center"/>
          </w:tcPr>
          <w:p w14:paraId="1E9C8404">
            <w:pPr>
              <w:spacing w:line="240" w:lineRule="exact"/>
              <w:jc w:val="center"/>
              <w:rPr>
                <w:rFonts w:hint="eastAsia"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否</w:t>
            </w:r>
          </w:p>
        </w:tc>
      </w:tr>
      <w:tr w14:paraId="50B6D627">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454" w:hRule="exact"/>
          <w:jc w:val="center"/>
        </w:trPr>
        <w:tc>
          <w:tcPr>
            <w:tcW w:w="611" w:type="dxa"/>
            <w:vMerge w:val="continue"/>
            <w:tcBorders>
              <w:left w:val="nil"/>
              <w:right w:val="dotted" w:color="auto" w:sz="4" w:space="0"/>
            </w:tcBorders>
          </w:tcPr>
          <w:p w14:paraId="7F1708EB">
            <w:pPr>
              <w:spacing w:line="240" w:lineRule="exact"/>
              <w:jc w:val="center"/>
              <w:rPr>
                <w:rFonts w:hint="default" w:ascii="Times New Roman" w:hAnsi="Times New Roman" w:eastAsia="方正仿宋简体" w:cs="Times New Roman"/>
                <w:sz w:val="20"/>
                <w:szCs w:val="20"/>
              </w:rPr>
            </w:pPr>
          </w:p>
        </w:tc>
        <w:tc>
          <w:tcPr>
            <w:tcW w:w="525" w:type="dxa"/>
            <w:tcBorders>
              <w:top w:val="dotted" w:color="auto" w:sz="4" w:space="0"/>
              <w:left w:val="dotted" w:color="auto" w:sz="4" w:space="0"/>
              <w:bottom w:val="dotted" w:color="auto" w:sz="4" w:space="0"/>
              <w:right w:val="dotted" w:color="auto" w:sz="4" w:space="0"/>
            </w:tcBorders>
            <w:vAlign w:val="center"/>
          </w:tcPr>
          <w:p w14:paraId="31BE0A98">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val="en-US" w:eastAsia="zh-CN"/>
              </w:rPr>
              <w:t>5</w:t>
            </w:r>
          </w:p>
        </w:tc>
        <w:tc>
          <w:tcPr>
            <w:tcW w:w="3780" w:type="dxa"/>
            <w:tcBorders>
              <w:top w:val="dotted" w:color="auto" w:sz="4" w:space="0"/>
              <w:left w:val="dotted" w:color="auto" w:sz="4" w:space="0"/>
              <w:bottom w:val="dotted" w:color="auto" w:sz="4" w:space="0"/>
              <w:right w:val="dotted" w:color="auto" w:sz="4" w:space="0"/>
            </w:tcBorders>
            <w:vAlign w:val="center"/>
          </w:tcPr>
          <w:p w14:paraId="62A9405C">
            <w:pPr>
              <w:spacing w:line="240" w:lineRule="exact"/>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外贸进出口总额</w:t>
            </w:r>
          </w:p>
        </w:tc>
        <w:tc>
          <w:tcPr>
            <w:tcW w:w="718" w:type="dxa"/>
            <w:tcBorders>
              <w:top w:val="dotted" w:color="auto" w:sz="4" w:space="0"/>
              <w:left w:val="dotted" w:color="auto" w:sz="4" w:space="0"/>
              <w:bottom w:val="dotted" w:color="auto" w:sz="4" w:space="0"/>
              <w:right w:val="dotted" w:color="auto" w:sz="4" w:space="0"/>
            </w:tcBorders>
            <w:vAlign w:val="center"/>
          </w:tcPr>
          <w:p w14:paraId="1216ECC8">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亿元</w:t>
            </w:r>
          </w:p>
        </w:tc>
        <w:tc>
          <w:tcPr>
            <w:tcW w:w="2198" w:type="dxa"/>
            <w:tcBorders>
              <w:top w:val="dotted" w:color="auto" w:sz="4" w:space="0"/>
              <w:left w:val="dotted" w:color="auto" w:sz="4" w:space="0"/>
              <w:bottom w:val="dotted" w:color="auto" w:sz="4" w:space="0"/>
              <w:right w:val="dotted" w:color="auto" w:sz="4" w:space="0"/>
            </w:tcBorders>
            <w:vAlign w:val="center"/>
          </w:tcPr>
          <w:p w14:paraId="14866297">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增长3%</w:t>
            </w:r>
          </w:p>
        </w:tc>
        <w:tc>
          <w:tcPr>
            <w:tcW w:w="885" w:type="dxa"/>
            <w:tcBorders>
              <w:top w:val="dotted" w:color="auto" w:sz="4" w:space="0"/>
              <w:left w:val="dotted" w:color="auto" w:sz="4" w:space="0"/>
              <w:bottom w:val="dotted" w:color="auto" w:sz="4" w:space="0"/>
              <w:right w:val="dotted" w:color="auto" w:sz="4" w:space="0"/>
            </w:tcBorders>
            <w:vAlign w:val="center"/>
          </w:tcPr>
          <w:p w14:paraId="0280FB99">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46.4</w:t>
            </w:r>
          </w:p>
        </w:tc>
        <w:tc>
          <w:tcPr>
            <w:tcW w:w="859" w:type="dxa"/>
            <w:tcBorders>
              <w:top w:val="dotted" w:color="auto" w:sz="4" w:space="0"/>
              <w:left w:val="dotted" w:color="auto" w:sz="4" w:space="0"/>
              <w:bottom w:val="dotted" w:color="auto" w:sz="4" w:space="0"/>
              <w:right w:val="dotted" w:color="auto" w:sz="4" w:space="0"/>
            </w:tcBorders>
            <w:vAlign w:val="center"/>
          </w:tcPr>
          <w:p w14:paraId="2940CDA9">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4.7</w:t>
            </w:r>
          </w:p>
        </w:tc>
        <w:tc>
          <w:tcPr>
            <w:tcW w:w="832" w:type="dxa"/>
            <w:tcBorders>
              <w:top w:val="dotted" w:color="auto" w:sz="4" w:space="0"/>
              <w:left w:val="dotted" w:color="auto" w:sz="4" w:space="0"/>
              <w:bottom w:val="dotted" w:color="auto" w:sz="4" w:space="0"/>
              <w:right w:val="nil"/>
            </w:tcBorders>
            <w:vAlign w:val="center"/>
          </w:tcPr>
          <w:p w14:paraId="361EA543">
            <w:pPr>
              <w:spacing w:line="240" w:lineRule="exact"/>
              <w:jc w:val="center"/>
              <w:rPr>
                <w:rFonts w:hint="eastAsia"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是</w:t>
            </w:r>
          </w:p>
        </w:tc>
      </w:tr>
      <w:tr w14:paraId="44E76E85">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454" w:hRule="exact"/>
          <w:jc w:val="center"/>
        </w:trPr>
        <w:tc>
          <w:tcPr>
            <w:tcW w:w="611" w:type="dxa"/>
            <w:vMerge w:val="continue"/>
            <w:tcBorders>
              <w:left w:val="nil"/>
              <w:right w:val="dotted" w:color="auto" w:sz="4" w:space="0"/>
            </w:tcBorders>
          </w:tcPr>
          <w:p w14:paraId="114275B4">
            <w:pPr>
              <w:spacing w:line="240" w:lineRule="exact"/>
              <w:jc w:val="center"/>
              <w:rPr>
                <w:rFonts w:hint="default" w:ascii="Times New Roman" w:hAnsi="Times New Roman" w:eastAsia="方正仿宋简体" w:cs="Times New Roman"/>
                <w:sz w:val="20"/>
                <w:szCs w:val="20"/>
              </w:rPr>
            </w:pPr>
          </w:p>
        </w:tc>
        <w:tc>
          <w:tcPr>
            <w:tcW w:w="525" w:type="dxa"/>
            <w:tcBorders>
              <w:top w:val="dotted" w:color="auto" w:sz="4" w:space="0"/>
              <w:left w:val="dotted" w:color="auto" w:sz="4" w:space="0"/>
              <w:bottom w:val="dotted" w:color="auto" w:sz="4" w:space="0"/>
              <w:right w:val="dotted" w:color="auto" w:sz="4" w:space="0"/>
            </w:tcBorders>
            <w:vAlign w:val="center"/>
          </w:tcPr>
          <w:p w14:paraId="3DAA4492">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val="en-US" w:eastAsia="zh-CN"/>
              </w:rPr>
              <w:t>6</w:t>
            </w:r>
          </w:p>
        </w:tc>
        <w:tc>
          <w:tcPr>
            <w:tcW w:w="3780" w:type="dxa"/>
            <w:tcBorders>
              <w:top w:val="dotted" w:color="auto" w:sz="4" w:space="0"/>
              <w:left w:val="dotted" w:color="auto" w:sz="4" w:space="0"/>
              <w:bottom w:val="dotted" w:color="auto" w:sz="4" w:space="0"/>
              <w:right w:val="dotted" w:color="auto" w:sz="4" w:space="0"/>
            </w:tcBorders>
            <w:vAlign w:val="center"/>
          </w:tcPr>
          <w:p w14:paraId="48156822">
            <w:pPr>
              <w:spacing w:line="240" w:lineRule="exact"/>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实际利用外资</w:t>
            </w:r>
          </w:p>
        </w:tc>
        <w:tc>
          <w:tcPr>
            <w:tcW w:w="718" w:type="dxa"/>
            <w:tcBorders>
              <w:top w:val="dotted" w:color="auto" w:sz="4" w:space="0"/>
              <w:left w:val="dotted" w:color="auto" w:sz="4" w:space="0"/>
              <w:bottom w:val="dotted" w:color="auto" w:sz="4" w:space="0"/>
              <w:right w:val="dotted" w:color="auto" w:sz="4" w:space="0"/>
            </w:tcBorders>
            <w:vAlign w:val="center"/>
          </w:tcPr>
          <w:p w14:paraId="7848CB0C">
            <w:pPr>
              <w:spacing w:line="240" w:lineRule="exact"/>
              <w:jc w:val="center"/>
              <w:rPr>
                <w:rFonts w:hint="default" w:ascii="Times New Roman" w:hAnsi="Times New Roman" w:eastAsia="方正仿宋简体" w:cs="Times New Roman"/>
                <w:sz w:val="20"/>
                <w:szCs w:val="20"/>
              </w:rPr>
            </w:pPr>
            <w:r>
              <w:rPr>
                <w:rFonts w:hint="eastAsia" w:ascii="Times New Roman" w:hAnsi="Times New Roman" w:eastAsia="方正仿宋简体" w:cs="Times New Roman"/>
                <w:sz w:val="20"/>
                <w:szCs w:val="20"/>
                <w:lang w:val="en-US" w:eastAsia="zh-CN"/>
              </w:rPr>
              <w:t>亿</w:t>
            </w:r>
            <w:r>
              <w:rPr>
                <w:rFonts w:hint="default" w:ascii="Times New Roman" w:hAnsi="Times New Roman" w:eastAsia="方正仿宋简体" w:cs="Times New Roman"/>
                <w:sz w:val="20"/>
                <w:szCs w:val="20"/>
              </w:rPr>
              <w:t>美元</w:t>
            </w:r>
          </w:p>
        </w:tc>
        <w:tc>
          <w:tcPr>
            <w:tcW w:w="2198" w:type="dxa"/>
            <w:tcBorders>
              <w:top w:val="dotted" w:color="auto" w:sz="4" w:space="0"/>
              <w:left w:val="dotted" w:color="auto" w:sz="4" w:space="0"/>
              <w:bottom w:val="dotted" w:color="auto" w:sz="4" w:space="0"/>
              <w:right w:val="dotted" w:color="auto" w:sz="4" w:space="0"/>
            </w:tcBorders>
            <w:vAlign w:val="center"/>
          </w:tcPr>
          <w:p w14:paraId="1BA27E60">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1</w:t>
            </w:r>
          </w:p>
        </w:tc>
        <w:tc>
          <w:tcPr>
            <w:tcW w:w="885" w:type="dxa"/>
            <w:tcBorders>
              <w:top w:val="dotted" w:color="auto" w:sz="4" w:space="0"/>
              <w:left w:val="dotted" w:color="auto" w:sz="4" w:space="0"/>
              <w:bottom w:val="dotted" w:color="auto" w:sz="4" w:space="0"/>
              <w:right w:val="dotted" w:color="auto" w:sz="4" w:space="0"/>
            </w:tcBorders>
            <w:vAlign w:val="center"/>
          </w:tcPr>
          <w:p w14:paraId="43D6FBD2">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0.51</w:t>
            </w:r>
          </w:p>
        </w:tc>
        <w:tc>
          <w:tcPr>
            <w:tcW w:w="859" w:type="dxa"/>
            <w:tcBorders>
              <w:top w:val="dotted" w:color="auto" w:sz="4" w:space="0"/>
              <w:left w:val="dotted" w:color="auto" w:sz="4" w:space="0"/>
              <w:bottom w:val="dotted" w:color="auto" w:sz="4" w:space="0"/>
              <w:right w:val="dotted" w:color="auto" w:sz="4" w:space="0"/>
            </w:tcBorders>
            <w:vAlign w:val="center"/>
          </w:tcPr>
          <w:p w14:paraId="2987840D">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971</w:t>
            </w:r>
          </w:p>
        </w:tc>
        <w:tc>
          <w:tcPr>
            <w:tcW w:w="832" w:type="dxa"/>
            <w:tcBorders>
              <w:top w:val="dotted" w:color="auto" w:sz="4" w:space="0"/>
              <w:left w:val="dotted" w:color="auto" w:sz="4" w:space="0"/>
              <w:bottom w:val="dotted" w:color="auto" w:sz="4" w:space="0"/>
              <w:right w:val="nil"/>
            </w:tcBorders>
            <w:vAlign w:val="center"/>
          </w:tcPr>
          <w:p w14:paraId="4EE1BB9E">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是</w:t>
            </w:r>
          </w:p>
        </w:tc>
      </w:tr>
      <w:tr w14:paraId="1EF0CFEC">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510" w:hRule="exact"/>
          <w:jc w:val="center"/>
        </w:trPr>
        <w:tc>
          <w:tcPr>
            <w:tcW w:w="611" w:type="dxa"/>
            <w:vMerge w:val="restart"/>
            <w:tcBorders>
              <w:top w:val="dotted" w:color="auto" w:sz="4" w:space="0"/>
              <w:left w:val="nil"/>
              <w:right w:val="dotted" w:color="auto" w:sz="4" w:space="0"/>
            </w:tcBorders>
            <w:vAlign w:val="center"/>
          </w:tcPr>
          <w:p w14:paraId="0DA3D45E">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产业强区</w:t>
            </w:r>
          </w:p>
        </w:tc>
        <w:tc>
          <w:tcPr>
            <w:tcW w:w="525" w:type="dxa"/>
            <w:tcBorders>
              <w:top w:val="dotted" w:color="auto" w:sz="4" w:space="0"/>
              <w:left w:val="dotted" w:color="auto" w:sz="4" w:space="0"/>
              <w:bottom w:val="dotted" w:color="auto" w:sz="4" w:space="0"/>
              <w:right w:val="dotted" w:color="auto" w:sz="4" w:space="0"/>
            </w:tcBorders>
            <w:vAlign w:val="center"/>
          </w:tcPr>
          <w:p w14:paraId="6116C694">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7</w:t>
            </w:r>
          </w:p>
        </w:tc>
        <w:tc>
          <w:tcPr>
            <w:tcW w:w="3780" w:type="dxa"/>
            <w:tcBorders>
              <w:top w:val="dotted" w:color="auto" w:sz="4" w:space="0"/>
              <w:left w:val="dotted" w:color="auto" w:sz="4" w:space="0"/>
              <w:bottom w:val="dotted" w:color="auto" w:sz="4" w:space="0"/>
              <w:right w:val="dotted" w:color="auto" w:sz="4" w:space="0"/>
            </w:tcBorders>
            <w:vAlign w:val="center"/>
          </w:tcPr>
          <w:p w14:paraId="41CD10F4">
            <w:pPr>
              <w:spacing w:line="240" w:lineRule="exact"/>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制造业增加值占地区生产总值比重</w:t>
            </w:r>
          </w:p>
        </w:tc>
        <w:tc>
          <w:tcPr>
            <w:tcW w:w="718" w:type="dxa"/>
            <w:tcBorders>
              <w:top w:val="dotted" w:color="auto" w:sz="4" w:space="0"/>
              <w:left w:val="dotted" w:color="auto" w:sz="4" w:space="0"/>
              <w:bottom w:val="dotted" w:color="auto" w:sz="4" w:space="0"/>
              <w:right w:val="dotted" w:color="auto" w:sz="4" w:space="0"/>
            </w:tcBorders>
            <w:vAlign w:val="center"/>
          </w:tcPr>
          <w:p w14:paraId="73103DC6">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w:t>
            </w:r>
          </w:p>
        </w:tc>
        <w:tc>
          <w:tcPr>
            <w:tcW w:w="2198" w:type="dxa"/>
            <w:tcBorders>
              <w:top w:val="dotted" w:color="auto" w:sz="4" w:space="0"/>
              <w:left w:val="dotted" w:color="auto" w:sz="4" w:space="0"/>
              <w:bottom w:val="dotted" w:color="auto" w:sz="4" w:space="0"/>
              <w:right w:val="dotted" w:color="auto" w:sz="4" w:space="0"/>
            </w:tcBorders>
            <w:vAlign w:val="center"/>
          </w:tcPr>
          <w:p w14:paraId="511ECCAA">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提高1个百分点左右</w:t>
            </w:r>
          </w:p>
        </w:tc>
        <w:tc>
          <w:tcPr>
            <w:tcW w:w="1744" w:type="dxa"/>
            <w:gridSpan w:val="2"/>
            <w:tcBorders>
              <w:top w:val="dotted" w:color="auto" w:sz="4" w:space="0"/>
              <w:left w:val="dotted" w:color="auto" w:sz="4" w:space="0"/>
              <w:bottom w:val="dotted" w:color="auto" w:sz="4" w:space="0"/>
              <w:right w:val="nil"/>
            </w:tcBorders>
            <w:vAlign w:val="center"/>
          </w:tcPr>
          <w:p w14:paraId="673900C6">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提高1个百分点</w:t>
            </w:r>
          </w:p>
          <w:p w14:paraId="559A2689">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左右</w:t>
            </w:r>
          </w:p>
        </w:tc>
        <w:tc>
          <w:tcPr>
            <w:tcW w:w="832" w:type="dxa"/>
            <w:tcBorders>
              <w:top w:val="dotted" w:color="auto" w:sz="4" w:space="0"/>
              <w:left w:val="dotted" w:color="auto" w:sz="4" w:space="0"/>
              <w:bottom w:val="dotted" w:color="auto" w:sz="4" w:space="0"/>
              <w:right w:val="nil"/>
            </w:tcBorders>
            <w:vAlign w:val="center"/>
          </w:tcPr>
          <w:p w14:paraId="313482B9">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是</w:t>
            </w:r>
          </w:p>
        </w:tc>
      </w:tr>
      <w:tr w14:paraId="7F4E5ACE">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454" w:hRule="exact"/>
          <w:jc w:val="center"/>
        </w:trPr>
        <w:tc>
          <w:tcPr>
            <w:tcW w:w="611" w:type="dxa"/>
            <w:vMerge w:val="continue"/>
            <w:tcBorders>
              <w:left w:val="nil"/>
              <w:right w:val="dotted" w:color="auto" w:sz="4" w:space="0"/>
            </w:tcBorders>
          </w:tcPr>
          <w:p w14:paraId="32A663CB">
            <w:pPr>
              <w:spacing w:line="240" w:lineRule="exact"/>
              <w:jc w:val="center"/>
              <w:rPr>
                <w:rFonts w:hint="default" w:ascii="Times New Roman" w:hAnsi="Times New Roman" w:eastAsia="方正仿宋简体" w:cs="Times New Roman"/>
                <w:sz w:val="20"/>
                <w:szCs w:val="20"/>
              </w:rPr>
            </w:pPr>
          </w:p>
        </w:tc>
        <w:tc>
          <w:tcPr>
            <w:tcW w:w="525" w:type="dxa"/>
            <w:tcBorders>
              <w:top w:val="dotted" w:color="auto" w:sz="4" w:space="0"/>
              <w:left w:val="dotted" w:color="auto" w:sz="4" w:space="0"/>
              <w:bottom w:val="dotted" w:color="auto" w:sz="4" w:space="0"/>
              <w:right w:val="dotted" w:color="auto" w:sz="4" w:space="0"/>
            </w:tcBorders>
            <w:vAlign w:val="center"/>
          </w:tcPr>
          <w:p w14:paraId="7E2D8196">
            <w:pPr>
              <w:spacing w:line="240" w:lineRule="exact"/>
              <w:jc w:val="center"/>
              <w:rPr>
                <w:rFonts w:hint="eastAsia"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8</w:t>
            </w:r>
          </w:p>
        </w:tc>
        <w:tc>
          <w:tcPr>
            <w:tcW w:w="3780" w:type="dxa"/>
            <w:tcBorders>
              <w:top w:val="dotted" w:color="auto" w:sz="4" w:space="0"/>
              <w:left w:val="dotted" w:color="auto" w:sz="4" w:space="0"/>
              <w:bottom w:val="dotted" w:color="auto" w:sz="4" w:space="0"/>
              <w:right w:val="dotted" w:color="auto" w:sz="4" w:space="0"/>
            </w:tcBorders>
            <w:vAlign w:val="center"/>
          </w:tcPr>
          <w:p w14:paraId="6A43FA34">
            <w:pPr>
              <w:spacing w:line="240" w:lineRule="exact"/>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培育基础级及以上水平智能工厂数</w:t>
            </w:r>
          </w:p>
        </w:tc>
        <w:tc>
          <w:tcPr>
            <w:tcW w:w="718" w:type="dxa"/>
            <w:tcBorders>
              <w:top w:val="dotted" w:color="auto" w:sz="4" w:space="0"/>
              <w:left w:val="dotted" w:color="auto" w:sz="4" w:space="0"/>
              <w:bottom w:val="dotted" w:color="auto" w:sz="4" w:space="0"/>
              <w:right w:val="dotted" w:color="auto" w:sz="4" w:space="0"/>
            </w:tcBorders>
            <w:vAlign w:val="center"/>
          </w:tcPr>
          <w:p w14:paraId="27B4705E">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家</w:t>
            </w:r>
          </w:p>
        </w:tc>
        <w:tc>
          <w:tcPr>
            <w:tcW w:w="2198" w:type="dxa"/>
            <w:tcBorders>
              <w:top w:val="dotted" w:color="auto" w:sz="4" w:space="0"/>
              <w:left w:val="dotted" w:color="auto" w:sz="4" w:space="0"/>
              <w:bottom w:val="dotted" w:color="auto" w:sz="4" w:space="0"/>
              <w:right w:val="dotted" w:color="auto" w:sz="4" w:space="0"/>
            </w:tcBorders>
            <w:vAlign w:val="center"/>
          </w:tcPr>
          <w:p w14:paraId="023D9282">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达市定目标</w:t>
            </w:r>
          </w:p>
        </w:tc>
        <w:tc>
          <w:tcPr>
            <w:tcW w:w="885" w:type="dxa"/>
            <w:tcBorders>
              <w:top w:val="dotted" w:color="auto" w:sz="4" w:space="0"/>
              <w:left w:val="dotted" w:color="auto" w:sz="4" w:space="0"/>
              <w:bottom w:val="dotted" w:color="auto" w:sz="4" w:space="0"/>
              <w:right w:val="nil"/>
            </w:tcBorders>
            <w:vAlign w:val="center"/>
          </w:tcPr>
          <w:p w14:paraId="4DBBD03F">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143</w:t>
            </w:r>
          </w:p>
        </w:tc>
        <w:tc>
          <w:tcPr>
            <w:tcW w:w="859" w:type="dxa"/>
            <w:tcBorders>
              <w:top w:val="dotted" w:color="auto" w:sz="4" w:space="0"/>
              <w:left w:val="dotted" w:color="auto" w:sz="4" w:space="0"/>
              <w:bottom w:val="dotted" w:color="auto" w:sz="4" w:space="0"/>
              <w:right w:val="nil"/>
            </w:tcBorders>
            <w:vAlign w:val="center"/>
          </w:tcPr>
          <w:p w14:paraId="2A6B64E5">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w:t>
            </w:r>
          </w:p>
        </w:tc>
        <w:tc>
          <w:tcPr>
            <w:tcW w:w="832" w:type="dxa"/>
            <w:tcBorders>
              <w:top w:val="dotted" w:color="auto" w:sz="4" w:space="0"/>
              <w:left w:val="dotted" w:color="auto" w:sz="4" w:space="0"/>
              <w:bottom w:val="dotted" w:color="auto" w:sz="4" w:space="0"/>
              <w:right w:val="nil"/>
            </w:tcBorders>
            <w:vAlign w:val="center"/>
          </w:tcPr>
          <w:p w14:paraId="1FE262DC">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是</w:t>
            </w:r>
          </w:p>
        </w:tc>
      </w:tr>
      <w:tr w14:paraId="514F020F">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510" w:hRule="exact"/>
          <w:jc w:val="center"/>
        </w:trPr>
        <w:tc>
          <w:tcPr>
            <w:tcW w:w="611" w:type="dxa"/>
            <w:vMerge w:val="continue"/>
            <w:tcBorders>
              <w:left w:val="nil"/>
              <w:right w:val="dotted" w:color="auto" w:sz="4" w:space="0"/>
            </w:tcBorders>
          </w:tcPr>
          <w:p w14:paraId="158D0523">
            <w:pPr>
              <w:spacing w:line="240" w:lineRule="exact"/>
              <w:jc w:val="center"/>
              <w:rPr>
                <w:rFonts w:hint="default" w:ascii="Times New Roman" w:hAnsi="Times New Roman" w:eastAsia="方正仿宋简体" w:cs="Times New Roman"/>
                <w:sz w:val="20"/>
                <w:szCs w:val="20"/>
              </w:rPr>
            </w:pPr>
          </w:p>
        </w:tc>
        <w:tc>
          <w:tcPr>
            <w:tcW w:w="525" w:type="dxa"/>
            <w:tcBorders>
              <w:top w:val="dotted" w:color="auto" w:sz="4" w:space="0"/>
              <w:left w:val="dotted" w:color="auto" w:sz="4" w:space="0"/>
              <w:bottom w:val="dotted" w:color="auto" w:sz="4" w:space="0"/>
              <w:right w:val="dotted" w:color="auto" w:sz="4" w:space="0"/>
            </w:tcBorders>
            <w:vAlign w:val="center"/>
          </w:tcPr>
          <w:p w14:paraId="1B23144A">
            <w:pPr>
              <w:spacing w:line="240" w:lineRule="exact"/>
              <w:jc w:val="center"/>
              <w:rPr>
                <w:rFonts w:hint="eastAsia"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9</w:t>
            </w:r>
          </w:p>
        </w:tc>
        <w:tc>
          <w:tcPr>
            <w:tcW w:w="3780" w:type="dxa"/>
            <w:tcBorders>
              <w:top w:val="dotted" w:color="auto" w:sz="4" w:space="0"/>
              <w:left w:val="dotted" w:color="auto" w:sz="4" w:space="0"/>
              <w:bottom w:val="dotted" w:color="auto" w:sz="4" w:space="0"/>
              <w:right w:val="dotted" w:color="auto" w:sz="4" w:space="0"/>
            </w:tcBorders>
            <w:vAlign w:val="center"/>
          </w:tcPr>
          <w:p w14:paraId="748A0908">
            <w:pPr>
              <w:spacing w:line="240" w:lineRule="exact"/>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新增省级以上专精特新企业数</w:t>
            </w:r>
          </w:p>
        </w:tc>
        <w:tc>
          <w:tcPr>
            <w:tcW w:w="718" w:type="dxa"/>
            <w:tcBorders>
              <w:top w:val="dotted" w:color="auto" w:sz="4" w:space="0"/>
              <w:left w:val="dotted" w:color="auto" w:sz="4" w:space="0"/>
              <w:bottom w:val="dotted" w:color="auto" w:sz="4" w:space="0"/>
              <w:right w:val="dotted" w:color="auto" w:sz="4" w:space="0"/>
            </w:tcBorders>
            <w:vAlign w:val="center"/>
          </w:tcPr>
          <w:p w14:paraId="4CB0629F">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家</w:t>
            </w:r>
          </w:p>
        </w:tc>
        <w:tc>
          <w:tcPr>
            <w:tcW w:w="2198" w:type="dxa"/>
            <w:tcBorders>
              <w:top w:val="dotted" w:color="auto" w:sz="4" w:space="0"/>
              <w:left w:val="dotted" w:color="auto" w:sz="4" w:space="0"/>
              <w:bottom w:val="dotted" w:color="auto" w:sz="4" w:space="0"/>
              <w:right w:val="dotted" w:color="auto" w:sz="4" w:space="0"/>
            </w:tcBorders>
            <w:vAlign w:val="center"/>
          </w:tcPr>
          <w:p w14:paraId="70833BBB">
            <w:pPr>
              <w:spacing w:line="240" w:lineRule="exact"/>
              <w:jc w:val="center"/>
              <w:rPr>
                <w:rFonts w:hint="eastAsia"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达市定目标</w:t>
            </w:r>
          </w:p>
        </w:tc>
        <w:tc>
          <w:tcPr>
            <w:tcW w:w="1744" w:type="dxa"/>
            <w:gridSpan w:val="2"/>
            <w:tcBorders>
              <w:top w:val="dotted" w:color="auto" w:sz="4" w:space="0"/>
              <w:left w:val="dotted" w:color="auto" w:sz="4" w:space="0"/>
              <w:bottom w:val="dotted" w:color="auto" w:sz="4" w:space="0"/>
              <w:right w:val="nil"/>
            </w:tcBorders>
            <w:vAlign w:val="center"/>
          </w:tcPr>
          <w:p w14:paraId="1089D61C">
            <w:pPr>
              <w:spacing w:line="240" w:lineRule="exact"/>
              <w:jc w:val="center"/>
              <w:rPr>
                <w:rFonts w:hint="default" w:ascii="Times New Roman" w:hAnsi="Times New Roman" w:eastAsia="方正仿宋简体" w:cs="Times New Roman"/>
                <w:sz w:val="20"/>
                <w:szCs w:val="20"/>
                <w:lang w:val="en-US" w:eastAsia="zh-CN"/>
              </w:rPr>
            </w:pPr>
            <w:r>
              <w:rPr>
                <w:rFonts w:hint="default" w:ascii="Times New Roman" w:hAnsi="Times New Roman" w:eastAsia="方正仿宋简体" w:cs="Times New Roman"/>
                <w:sz w:val="20"/>
                <w:szCs w:val="20"/>
                <w:lang w:val="en-US" w:eastAsia="zh-CN"/>
              </w:rPr>
              <w:t>10家申报国家</w:t>
            </w:r>
          </w:p>
          <w:p w14:paraId="24FC39C7">
            <w:pPr>
              <w:spacing w:line="240" w:lineRule="exact"/>
              <w:jc w:val="center"/>
              <w:rPr>
                <w:rFonts w:hint="default" w:ascii="Times New Roman" w:hAnsi="Times New Roman" w:eastAsia="方正仿宋简体" w:cs="Times New Roman"/>
                <w:sz w:val="20"/>
                <w:szCs w:val="20"/>
                <w:lang w:val="en-US" w:eastAsia="zh-CN"/>
              </w:rPr>
            </w:pPr>
            <w:r>
              <w:rPr>
                <w:rFonts w:hint="default" w:ascii="Times New Roman" w:hAnsi="Times New Roman" w:eastAsia="方正仿宋简体" w:cs="Times New Roman"/>
                <w:sz w:val="20"/>
                <w:szCs w:val="20"/>
                <w:lang w:val="en-US" w:eastAsia="zh-CN"/>
              </w:rPr>
              <w:t>“小巨人”</w:t>
            </w:r>
          </w:p>
        </w:tc>
        <w:tc>
          <w:tcPr>
            <w:tcW w:w="832" w:type="dxa"/>
            <w:tcBorders>
              <w:top w:val="dotted" w:color="auto" w:sz="4" w:space="0"/>
              <w:left w:val="dotted" w:color="auto" w:sz="4" w:space="0"/>
              <w:bottom w:val="dotted" w:color="auto" w:sz="4" w:space="0"/>
              <w:right w:val="nil"/>
            </w:tcBorders>
            <w:vAlign w:val="center"/>
          </w:tcPr>
          <w:p w14:paraId="62EA1518">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是</w:t>
            </w:r>
          </w:p>
        </w:tc>
      </w:tr>
      <w:tr w14:paraId="44BBBD52">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454" w:hRule="exact"/>
          <w:jc w:val="center"/>
        </w:trPr>
        <w:tc>
          <w:tcPr>
            <w:tcW w:w="611" w:type="dxa"/>
            <w:vMerge w:val="continue"/>
            <w:tcBorders>
              <w:left w:val="nil"/>
              <w:bottom w:val="dotted" w:color="auto" w:sz="4" w:space="0"/>
              <w:right w:val="dotted" w:color="auto" w:sz="4" w:space="0"/>
            </w:tcBorders>
            <w:vAlign w:val="center"/>
          </w:tcPr>
          <w:p w14:paraId="2AD1A29A">
            <w:pPr>
              <w:spacing w:line="240" w:lineRule="exact"/>
              <w:jc w:val="center"/>
              <w:rPr>
                <w:rFonts w:hint="default" w:ascii="Times New Roman" w:hAnsi="Times New Roman" w:eastAsia="方正仿宋简体" w:cs="Times New Roman"/>
                <w:sz w:val="20"/>
                <w:szCs w:val="20"/>
              </w:rPr>
            </w:pPr>
          </w:p>
        </w:tc>
        <w:tc>
          <w:tcPr>
            <w:tcW w:w="525" w:type="dxa"/>
            <w:tcBorders>
              <w:top w:val="dotted" w:color="auto" w:sz="4" w:space="0"/>
              <w:left w:val="dotted" w:color="auto" w:sz="4" w:space="0"/>
              <w:bottom w:val="dotted" w:color="auto" w:sz="4" w:space="0"/>
              <w:right w:val="dotted" w:color="auto" w:sz="4" w:space="0"/>
            </w:tcBorders>
            <w:vAlign w:val="center"/>
          </w:tcPr>
          <w:p w14:paraId="4757C4A3">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10</w:t>
            </w:r>
          </w:p>
        </w:tc>
        <w:tc>
          <w:tcPr>
            <w:tcW w:w="3780" w:type="dxa"/>
            <w:tcBorders>
              <w:top w:val="dotted" w:color="auto" w:sz="4" w:space="0"/>
              <w:left w:val="dotted" w:color="auto" w:sz="4" w:space="0"/>
              <w:bottom w:val="dotted" w:color="auto" w:sz="4" w:space="0"/>
              <w:right w:val="dotted" w:color="auto" w:sz="4" w:space="0"/>
            </w:tcBorders>
            <w:vAlign w:val="center"/>
          </w:tcPr>
          <w:p w14:paraId="0D1F8120">
            <w:pPr>
              <w:spacing w:line="240" w:lineRule="exact"/>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规上数字经济核心产业营业收入增速</w:t>
            </w:r>
          </w:p>
        </w:tc>
        <w:tc>
          <w:tcPr>
            <w:tcW w:w="718" w:type="dxa"/>
            <w:tcBorders>
              <w:top w:val="dotted" w:color="auto" w:sz="4" w:space="0"/>
              <w:left w:val="dotted" w:color="auto" w:sz="4" w:space="0"/>
              <w:bottom w:val="dotted" w:color="auto" w:sz="4" w:space="0"/>
              <w:right w:val="dotted" w:color="auto" w:sz="4" w:space="0"/>
            </w:tcBorders>
            <w:vAlign w:val="center"/>
          </w:tcPr>
          <w:p w14:paraId="0CA96F49">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w:t>
            </w:r>
          </w:p>
        </w:tc>
        <w:tc>
          <w:tcPr>
            <w:tcW w:w="2198" w:type="dxa"/>
            <w:tcBorders>
              <w:top w:val="dotted" w:color="auto" w:sz="4" w:space="0"/>
              <w:left w:val="dotted" w:color="auto" w:sz="4" w:space="0"/>
              <w:bottom w:val="dotted" w:color="auto" w:sz="4" w:space="0"/>
              <w:right w:val="dotted" w:color="auto" w:sz="4" w:space="0"/>
            </w:tcBorders>
            <w:vAlign w:val="center"/>
          </w:tcPr>
          <w:p w14:paraId="5B1F0202">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达市定目标</w:t>
            </w:r>
          </w:p>
        </w:tc>
        <w:tc>
          <w:tcPr>
            <w:tcW w:w="2576" w:type="dxa"/>
            <w:gridSpan w:val="3"/>
            <w:tcBorders>
              <w:top w:val="dotted" w:color="auto" w:sz="4" w:space="0"/>
              <w:left w:val="dotted" w:color="auto" w:sz="4" w:space="0"/>
              <w:bottom w:val="dotted" w:color="auto" w:sz="4" w:space="0"/>
              <w:right w:val="nil"/>
            </w:tcBorders>
            <w:vAlign w:val="center"/>
          </w:tcPr>
          <w:p w14:paraId="06DD6134">
            <w:pPr>
              <w:spacing w:line="240" w:lineRule="exact"/>
              <w:jc w:val="center"/>
              <w:rPr>
                <w:rFonts w:hint="default" w:ascii="Times New Roman" w:hAnsi="Times New Roman" w:eastAsia="方正仿宋简体" w:cs="Times New Roman"/>
                <w:sz w:val="20"/>
                <w:szCs w:val="20"/>
              </w:rPr>
            </w:pPr>
            <w:r>
              <w:rPr>
                <w:rFonts w:ascii="Times New Roman" w:hAnsi="Times New Roman" w:eastAsia="方正仿宋简体" w:cs="Times New Roman"/>
                <w:sz w:val="20"/>
                <w:szCs w:val="20"/>
                <w:highlight w:val="none"/>
              </w:rPr>
              <w:t>年度指标</w:t>
            </w:r>
          </w:p>
        </w:tc>
      </w:tr>
      <w:tr w14:paraId="6524F819">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454" w:hRule="exact"/>
          <w:jc w:val="center"/>
        </w:trPr>
        <w:tc>
          <w:tcPr>
            <w:tcW w:w="611" w:type="dxa"/>
            <w:vMerge w:val="restart"/>
            <w:tcBorders>
              <w:top w:val="dotted" w:color="auto" w:sz="4" w:space="0"/>
              <w:left w:val="nil"/>
              <w:right w:val="dotted" w:color="auto" w:sz="4" w:space="0"/>
            </w:tcBorders>
            <w:vAlign w:val="center"/>
          </w:tcPr>
          <w:p w14:paraId="3BBE5463">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创新驱动</w:t>
            </w:r>
          </w:p>
        </w:tc>
        <w:tc>
          <w:tcPr>
            <w:tcW w:w="525" w:type="dxa"/>
            <w:tcBorders>
              <w:top w:val="dotted" w:color="auto" w:sz="4" w:space="0"/>
              <w:left w:val="dotted" w:color="auto" w:sz="4" w:space="0"/>
              <w:bottom w:val="dotted" w:color="auto" w:sz="4" w:space="0"/>
              <w:right w:val="dotted" w:color="auto" w:sz="4" w:space="0"/>
            </w:tcBorders>
            <w:vAlign w:val="center"/>
          </w:tcPr>
          <w:p w14:paraId="0FB83921">
            <w:pPr>
              <w:spacing w:line="240" w:lineRule="exact"/>
              <w:jc w:val="center"/>
              <w:rPr>
                <w:rFonts w:hint="eastAsia" w:ascii="Times New Roman" w:hAnsi="Times New Roman" w:eastAsia="方正仿宋简体" w:cs="Times New Roman"/>
                <w:sz w:val="20"/>
                <w:szCs w:val="20"/>
                <w:lang w:eastAsia="zh-CN"/>
              </w:rPr>
            </w:pPr>
            <w:r>
              <w:rPr>
                <w:rFonts w:hint="default" w:ascii="Times New Roman" w:hAnsi="Times New Roman" w:eastAsia="方正仿宋简体" w:cs="Times New Roman"/>
                <w:sz w:val="20"/>
                <w:szCs w:val="20"/>
              </w:rPr>
              <w:t>1</w:t>
            </w:r>
            <w:r>
              <w:rPr>
                <w:rFonts w:hint="eastAsia" w:ascii="Times New Roman" w:hAnsi="Times New Roman" w:eastAsia="方正仿宋简体" w:cs="Times New Roman"/>
                <w:sz w:val="20"/>
                <w:szCs w:val="20"/>
                <w:lang w:val="en-US" w:eastAsia="zh-CN"/>
              </w:rPr>
              <w:t>1</w:t>
            </w:r>
          </w:p>
        </w:tc>
        <w:tc>
          <w:tcPr>
            <w:tcW w:w="3780" w:type="dxa"/>
            <w:tcBorders>
              <w:top w:val="dotted" w:color="auto" w:sz="4" w:space="0"/>
              <w:left w:val="dotted" w:color="auto" w:sz="4" w:space="0"/>
              <w:bottom w:val="dotted" w:color="auto" w:sz="4" w:space="0"/>
              <w:right w:val="dotted" w:color="auto" w:sz="4" w:space="0"/>
            </w:tcBorders>
            <w:vAlign w:val="center"/>
          </w:tcPr>
          <w:p w14:paraId="29744E54">
            <w:pPr>
              <w:spacing w:line="240" w:lineRule="exact"/>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全社会研发经费支出占地区生产总值比重</w:t>
            </w:r>
          </w:p>
        </w:tc>
        <w:tc>
          <w:tcPr>
            <w:tcW w:w="718" w:type="dxa"/>
            <w:tcBorders>
              <w:top w:val="dotted" w:color="auto" w:sz="4" w:space="0"/>
              <w:left w:val="dotted" w:color="auto" w:sz="4" w:space="0"/>
              <w:bottom w:val="dotted" w:color="auto" w:sz="4" w:space="0"/>
              <w:right w:val="dotted" w:color="auto" w:sz="4" w:space="0"/>
            </w:tcBorders>
            <w:shd w:val="clear" w:color="auto" w:fill="auto"/>
            <w:vAlign w:val="center"/>
          </w:tcPr>
          <w:p w14:paraId="6DEDADDA">
            <w:pPr>
              <w:spacing w:line="240" w:lineRule="exact"/>
              <w:jc w:val="center"/>
              <w:rPr>
                <w:rFonts w:hint="default" w:ascii="Times New Roman" w:hAnsi="Times New Roman" w:eastAsia="方正仿宋简体" w:cs="Times New Roman"/>
                <w:kern w:val="2"/>
                <w:sz w:val="20"/>
                <w:szCs w:val="20"/>
                <w:lang w:val="en-US" w:eastAsia="zh-CN" w:bidi="ar-SA"/>
              </w:rPr>
            </w:pPr>
            <w:r>
              <w:rPr>
                <w:rFonts w:hint="default" w:ascii="Times New Roman" w:hAnsi="Times New Roman" w:eastAsia="方正仿宋简体" w:cs="Times New Roman"/>
                <w:sz w:val="20"/>
                <w:szCs w:val="20"/>
              </w:rPr>
              <w:t>%</w:t>
            </w:r>
          </w:p>
        </w:tc>
        <w:tc>
          <w:tcPr>
            <w:tcW w:w="2198" w:type="dxa"/>
            <w:tcBorders>
              <w:top w:val="dotted" w:color="auto" w:sz="4" w:space="0"/>
              <w:left w:val="dotted" w:color="auto" w:sz="4" w:space="0"/>
              <w:bottom w:val="dotted" w:color="auto" w:sz="4" w:space="0"/>
              <w:right w:val="dotted" w:color="auto" w:sz="4" w:space="0"/>
            </w:tcBorders>
            <w:shd w:val="clear" w:color="auto" w:fill="auto"/>
            <w:vAlign w:val="center"/>
          </w:tcPr>
          <w:p w14:paraId="52336D05">
            <w:pPr>
              <w:spacing w:line="240" w:lineRule="exact"/>
              <w:jc w:val="center"/>
              <w:rPr>
                <w:rFonts w:hint="default" w:ascii="Times New Roman" w:hAnsi="Times New Roman" w:eastAsia="方正仿宋简体" w:cs="Times New Roman"/>
                <w:kern w:val="2"/>
                <w:sz w:val="20"/>
                <w:szCs w:val="20"/>
                <w:lang w:val="en-US" w:eastAsia="zh-CN" w:bidi="ar-SA"/>
              </w:rPr>
            </w:pPr>
            <w:r>
              <w:rPr>
                <w:rFonts w:hint="default" w:ascii="Times New Roman" w:hAnsi="Times New Roman" w:eastAsia="方正仿宋简体" w:cs="Times New Roman"/>
                <w:sz w:val="20"/>
                <w:szCs w:val="20"/>
              </w:rPr>
              <w:t>提高0.1个百分点</w:t>
            </w:r>
          </w:p>
        </w:tc>
        <w:tc>
          <w:tcPr>
            <w:tcW w:w="1744" w:type="dxa"/>
            <w:gridSpan w:val="2"/>
            <w:tcBorders>
              <w:top w:val="dotted" w:color="auto" w:sz="4" w:space="0"/>
              <w:left w:val="dotted" w:color="auto" w:sz="4" w:space="0"/>
              <w:bottom w:val="dotted" w:color="auto" w:sz="4" w:space="0"/>
              <w:right w:val="nil"/>
            </w:tcBorders>
            <w:vAlign w:val="center"/>
          </w:tcPr>
          <w:p w14:paraId="73C5FEFE">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提高0.1个百分点</w:t>
            </w:r>
          </w:p>
        </w:tc>
        <w:tc>
          <w:tcPr>
            <w:tcW w:w="832" w:type="dxa"/>
            <w:tcBorders>
              <w:top w:val="dotted" w:color="auto" w:sz="4" w:space="0"/>
              <w:left w:val="dotted" w:color="auto" w:sz="4" w:space="0"/>
              <w:bottom w:val="dotted" w:color="auto" w:sz="4" w:space="0"/>
              <w:right w:val="nil"/>
            </w:tcBorders>
            <w:vAlign w:val="center"/>
          </w:tcPr>
          <w:p w14:paraId="69AB0992">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是</w:t>
            </w:r>
          </w:p>
        </w:tc>
      </w:tr>
      <w:tr w14:paraId="4725DC2A">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585" w:hRule="exact"/>
          <w:jc w:val="center"/>
        </w:trPr>
        <w:tc>
          <w:tcPr>
            <w:tcW w:w="611" w:type="dxa"/>
            <w:vMerge w:val="continue"/>
            <w:tcBorders>
              <w:left w:val="nil"/>
              <w:right w:val="dotted" w:color="auto" w:sz="4" w:space="0"/>
            </w:tcBorders>
            <w:vAlign w:val="center"/>
          </w:tcPr>
          <w:p w14:paraId="01F52C39">
            <w:pPr>
              <w:spacing w:line="240" w:lineRule="exact"/>
              <w:jc w:val="center"/>
              <w:rPr>
                <w:rFonts w:hint="default" w:ascii="Times New Roman" w:hAnsi="Times New Roman" w:eastAsia="方正仿宋简体" w:cs="Times New Roman"/>
                <w:sz w:val="20"/>
                <w:szCs w:val="20"/>
              </w:rPr>
            </w:pPr>
          </w:p>
        </w:tc>
        <w:tc>
          <w:tcPr>
            <w:tcW w:w="525" w:type="dxa"/>
            <w:tcBorders>
              <w:top w:val="dotted" w:color="auto" w:sz="4" w:space="0"/>
              <w:left w:val="dotted" w:color="auto" w:sz="4" w:space="0"/>
              <w:bottom w:val="dotted" w:color="auto" w:sz="4" w:space="0"/>
              <w:right w:val="dotted" w:color="auto" w:sz="4" w:space="0"/>
            </w:tcBorders>
            <w:vAlign w:val="center"/>
          </w:tcPr>
          <w:p w14:paraId="35AE450C">
            <w:pPr>
              <w:spacing w:line="240" w:lineRule="exact"/>
              <w:jc w:val="center"/>
              <w:rPr>
                <w:rFonts w:hint="eastAsia" w:ascii="Times New Roman" w:hAnsi="Times New Roman" w:eastAsia="方正仿宋简体" w:cs="Times New Roman"/>
                <w:sz w:val="20"/>
                <w:szCs w:val="20"/>
                <w:lang w:eastAsia="zh-CN"/>
              </w:rPr>
            </w:pPr>
            <w:r>
              <w:rPr>
                <w:rFonts w:hint="default" w:ascii="Times New Roman" w:hAnsi="Times New Roman" w:eastAsia="方正仿宋简体" w:cs="Times New Roman"/>
                <w:sz w:val="20"/>
                <w:szCs w:val="20"/>
              </w:rPr>
              <w:t>1</w:t>
            </w:r>
            <w:r>
              <w:rPr>
                <w:rFonts w:hint="eastAsia" w:ascii="Times New Roman" w:hAnsi="Times New Roman" w:eastAsia="方正仿宋简体" w:cs="Times New Roman"/>
                <w:sz w:val="20"/>
                <w:szCs w:val="20"/>
                <w:lang w:val="en-US" w:eastAsia="zh-CN"/>
              </w:rPr>
              <w:t>2</w:t>
            </w:r>
          </w:p>
        </w:tc>
        <w:tc>
          <w:tcPr>
            <w:tcW w:w="3780" w:type="dxa"/>
            <w:tcBorders>
              <w:top w:val="dotted" w:color="auto" w:sz="4" w:space="0"/>
              <w:left w:val="dotted" w:color="auto" w:sz="4" w:space="0"/>
              <w:bottom w:val="dotted" w:color="auto" w:sz="4" w:space="0"/>
              <w:right w:val="dotted" w:color="auto" w:sz="4" w:space="0"/>
            </w:tcBorders>
            <w:vAlign w:val="center"/>
          </w:tcPr>
          <w:p w14:paraId="799BBBFE">
            <w:pPr>
              <w:spacing w:line="240" w:lineRule="exact"/>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高新技术产业产值占规模以上工业总产值比重</w:t>
            </w:r>
          </w:p>
        </w:tc>
        <w:tc>
          <w:tcPr>
            <w:tcW w:w="718" w:type="dxa"/>
            <w:tcBorders>
              <w:top w:val="dotted" w:color="auto" w:sz="4" w:space="0"/>
              <w:left w:val="dotted" w:color="auto" w:sz="4" w:space="0"/>
              <w:bottom w:val="dotted" w:color="auto" w:sz="4" w:space="0"/>
              <w:right w:val="dotted" w:color="auto" w:sz="4" w:space="0"/>
            </w:tcBorders>
            <w:vAlign w:val="center"/>
          </w:tcPr>
          <w:p w14:paraId="6687FFEC">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w:t>
            </w:r>
          </w:p>
        </w:tc>
        <w:tc>
          <w:tcPr>
            <w:tcW w:w="2198" w:type="dxa"/>
            <w:tcBorders>
              <w:top w:val="dotted" w:color="auto" w:sz="4" w:space="0"/>
              <w:left w:val="dotted" w:color="auto" w:sz="4" w:space="0"/>
              <w:bottom w:val="dotted" w:color="auto" w:sz="4" w:space="0"/>
              <w:right w:val="dotted" w:color="auto" w:sz="4" w:space="0"/>
            </w:tcBorders>
            <w:vAlign w:val="center"/>
          </w:tcPr>
          <w:p w14:paraId="0A71FC4B">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58.5</w:t>
            </w:r>
          </w:p>
        </w:tc>
        <w:tc>
          <w:tcPr>
            <w:tcW w:w="885" w:type="dxa"/>
            <w:tcBorders>
              <w:top w:val="dotted" w:color="auto" w:sz="4" w:space="0"/>
              <w:left w:val="dotted" w:color="auto" w:sz="4" w:space="0"/>
              <w:bottom w:val="dotted" w:color="auto" w:sz="4" w:space="0"/>
              <w:right w:val="nil"/>
            </w:tcBorders>
            <w:vAlign w:val="center"/>
          </w:tcPr>
          <w:p w14:paraId="24F0ADE4">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58.5</w:t>
            </w:r>
          </w:p>
        </w:tc>
        <w:tc>
          <w:tcPr>
            <w:tcW w:w="859" w:type="dxa"/>
            <w:tcBorders>
              <w:top w:val="dotted" w:color="auto" w:sz="4" w:space="0"/>
              <w:left w:val="dotted" w:color="auto" w:sz="4" w:space="0"/>
              <w:bottom w:val="dotted" w:color="auto" w:sz="4" w:space="0"/>
              <w:right w:val="nil"/>
            </w:tcBorders>
            <w:vAlign w:val="center"/>
          </w:tcPr>
          <w:p w14:paraId="3984D56B">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w:t>
            </w:r>
          </w:p>
        </w:tc>
        <w:tc>
          <w:tcPr>
            <w:tcW w:w="832" w:type="dxa"/>
            <w:tcBorders>
              <w:top w:val="dotted" w:color="auto" w:sz="4" w:space="0"/>
              <w:left w:val="dotted" w:color="auto" w:sz="4" w:space="0"/>
              <w:bottom w:val="dotted" w:color="auto" w:sz="4" w:space="0"/>
              <w:right w:val="nil"/>
            </w:tcBorders>
            <w:vAlign w:val="center"/>
          </w:tcPr>
          <w:p w14:paraId="528433CB">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是</w:t>
            </w:r>
          </w:p>
        </w:tc>
      </w:tr>
      <w:tr w14:paraId="174F4BD4">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454" w:hRule="exact"/>
          <w:jc w:val="center"/>
        </w:trPr>
        <w:tc>
          <w:tcPr>
            <w:tcW w:w="611" w:type="dxa"/>
            <w:vMerge w:val="continue"/>
            <w:tcBorders>
              <w:left w:val="nil"/>
              <w:right w:val="dotted" w:color="auto" w:sz="4" w:space="0"/>
            </w:tcBorders>
            <w:vAlign w:val="center"/>
          </w:tcPr>
          <w:p w14:paraId="547753B7">
            <w:pPr>
              <w:spacing w:line="240" w:lineRule="exact"/>
              <w:jc w:val="center"/>
              <w:rPr>
                <w:rFonts w:hint="default" w:ascii="Times New Roman" w:hAnsi="Times New Roman" w:eastAsia="方正仿宋简体" w:cs="Times New Roman"/>
                <w:sz w:val="20"/>
                <w:szCs w:val="20"/>
              </w:rPr>
            </w:pPr>
          </w:p>
        </w:tc>
        <w:tc>
          <w:tcPr>
            <w:tcW w:w="525" w:type="dxa"/>
            <w:tcBorders>
              <w:top w:val="dotted" w:color="auto" w:sz="4" w:space="0"/>
              <w:left w:val="dotted" w:color="auto" w:sz="4" w:space="0"/>
              <w:bottom w:val="dotted" w:color="auto" w:sz="4" w:space="0"/>
              <w:right w:val="dotted" w:color="auto" w:sz="4" w:space="0"/>
            </w:tcBorders>
            <w:vAlign w:val="center"/>
          </w:tcPr>
          <w:p w14:paraId="00D379C3">
            <w:pPr>
              <w:spacing w:line="240" w:lineRule="exact"/>
              <w:jc w:val="center"/>
              <w:rPr>
                <w:rFonts w:hint="eastAsia" w:ascii="Times New Roman" w:hAnsi="Times New Roman" w:eastAsia="方正仿宋简体" w:cs="Times New Roman"/>
                <w:sz w:val="20"/>
                <w:szCs w:val="20"/>
                <w:lang w:eastAsia="zh-CN"/>
              </w:rPr>
            </w:pPr>
            <w:r>
              <w:rPr>
                <w:rFonts w:hint="default" w:ascii="Times New Roman" w:hAnsi="Times New Roman" w:eastAsia="方正仿宋简体" w:cs="Times New Roman"/>
                <w:sz w:val="20"/>
                <w:szCs w:val="20"/>
              </w:rPr>
              <w:t>1</w:t>
            </w:r>
            <w:r>
              <w:rPr>
                <w:rFonts w:hint="eastAsia" w:ascii="Times New Roman" w:hAnsi="Times New Roman" w:eastAsia="方正仿宋简体" w:cs="Times New Roman"/>
                <w:sz w:val="20"/>
                <w:szCs w:val="20"/>
                <w:lang w:val="en-US" w:eastAsia="zh-CN"/>
              </w:rPr>
              <w:t>3</w:t>
            </w:r>
          </w:p>
        </w:tc>
        <w:tc>
          <w:tcPr>
            <w:tcW w:w="3780" w:type="dxa"/>
            <w:tcBorders>
              <w:top w:val="dotted" w:color="auto" w:sz="4" w:space="0"/>
              <w:left w:val="dotted" w:color="auto" w:sz="4" w:space="0"/>
              <w:bottom w:val="dotted" w:color="auto" w:sz="4" w:space="0"/>
              <w:right w:val="dotted" w:color="auto" w:sz="4" w:space="0"/>
            </w:tcBorders>
            <w:vAlign w:val="center"/>
          </w:tcPr>
          <w:p w14:paraId="4BF2DEFE">
            <w:pPr>
              <w:spacing w:line="240" w:lineRule="exact"/>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技术合同成交额</w:t>
            </w:r>
          </w:p>
        </w:tc>
        <w:tc>
          <w:tcPr>
            <w:tcW w:w="718" w:type="dxa"/>
            <w:tcBorders>
              <w:top w:val="dotted" w:color="auto" w:sz="4" w:space="0"/>
              <w:left w:val="dotted" w:color="auto" w:sz="4" w:space="0"/>
              <w:bottom w:val="dotted" w:color="auto" w:sz="4" w:space="0"/>
              <w:right w:val="dotted" w:color="auto" w:sz="4" w:space="0"/>
            </w:tcBorders>
            <w:vAlign w:val="center"/>
          </w:tcPr>
          <w:p w14:paraId="3F61961C">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亿元</w:t>
            </w:r>
          </w:p>
        </w:tc>
        <w:tc>
          <w:tcPr>
            <w:tcW w:w="2198" w:type="dxa"/>
            <w:tcBorders>
              <w:top w:val="dotted" w:color="auto" w:sz="4" w:space="0"/>
              <w:left w:val="dotted" w:color="auto" w:sz="4" w:space="0"/>
              <w:bottom w:val="dotted" w:color="auto" w:sz="4" w:space="0"/>
              <w:right w:val="dotted" w:color="auto" w:sz="4" w:space="0"/>
            </w:tcBorders>
            <w:vAlign w:val="center"/>
          </w:tcPr>
          <w:p w14:paraId="1DC87B54">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25</w:t>
            </w:r>
          </w:p>
        </w:tc>
        <w:tc>
          <w:tcPr>
            <w:tcW w:w="885" w:type="dxa"/>
            <w:tcBorders>
              <w:top w:val="dotted" w:color="auto" w:sz="4" w:space="0"/>
              <w:left w:val="dotted" w:color="auto" w:sz="4" w:space="0"/>
              <w:bottom w:val="dotted" w:color="auto" w:sz="4" w:space="0"/>
              <w:right w:val="dotted" w:color="auto" w:sz="4" w:space="0"/>
            </w:tcBorders>
            <w:vAlign w:val="center"/>
          </w:tcPr>
          <w:p w14:paraId="2F30001C">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12.69</w:t>
            </w:r>
          </w:p>
        </w:tc>
        <w:tc>
          <w:tcPr>
            <w:tcW w:w="859" w:type="dxa"/>
            <w:tcBorders>
              <w:top w:val="dotted" w:color="auto" w:sz="4" w:space="0"/>
              <w:left w:val="dotted" w:color="auto" w:sz="4" w:space="0"/>
              <w:bottom w:val="dotted" w:color="auto" w:sz="4" w:space="0"/>
              <w:right w:val="dotted" w:color="auto" w:sz="4" w:space="0"/>
            </w:tcBorders>
            <w:vAlign w:val="center"/>
          </w:tcPr>
          <w:p w14:paraId="5F810DA8">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w:t>
            </w:r>
          </w:p>
        </w:tc>
        <w:tc>
          <w:tcPr>
            <w:tcW w:w="832" w:type="dxa"/>
            <w:tcBorders>
              <w:top w:val="dotted" w:color="auto" w:sz="4" w:space="0"/>
              <w:left w:val="dotted" w:color="auto" w:sz="4" w:space="0"/>
              <w:bottom w:val="dotted" w:color="auto" w:sz="4" w:space="0"/>
              <w:right w:val="nil"/>
            </w:tcBorders>
            <w:vAlign w:val="center"/>
          </w:tcPr>
          <w:p w14:paraId="74F5DDEA">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是</w:t>
            </w:r>
          </w:p>
        </w:tc>
      </w:tr>
      <w:tr w14:paraId="4AA772AA">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454" w:hRule="exact"/>
          <w:jc w:val="center"/>
        </w:trPr>
        <w:tc>
          <w:tcPr>
            <w:tcW w:w="611" w:type="dxa"/>
            <w:vMerge w:val="restart"/>
            <w:tcBorders>
              <w:top w:val="dotted" w:color="auto" w:sz="4" w:space="0"/>
              <w:left w:val="nil"/>
              <w:right w:val="dotted" w:color="auto" w:sz="4" w:space="0"/>
            </w:tcBorders>
            <w:vAlign w:val="center"/>
          </w:tcPr>
          <w:p w14:paraId="7E6E6207">
            <w:pPr>
              <w:spacing w:line="240" w:lineRule="exact"/>
              <w:jc w:val="center"/>
              <w:rPr>
                <w:rFonts w:hint="eastAsia"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民生</w:t>
            </w:r>
          </w:p>
          <w:p w14:paraId="7529F3D1">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改善</w:t>
            </w:r>
          </w:p>
        </w:tc>
        <w:tc>
          <w:tcPr>
            <w:tcW w:w="525" w:type="dxa"/>
            <w:tcBorders>
              <w:top w:val="dotted" w:color="auto" w:sz="4" w:space="0"/>
              <w:left w:val="dotted" w:color="auto" w:sz="4" w:space="0"/>
              <w:bottom w:val="dotted" w:color="auto" w:sz="4" w:space="0"/>
              <w:right w:val="dotted" w:color="auto" w:sz="4" w:space="0"/>
            </w:tcBorders>
            <w:vAlign w:val="center"/>
          </w:tcPr>
          <w:p w14:paraId="522A9B3D">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14</w:t>
            </w:r>
          </w:p>
        </w:tc>
        <w:tc>
          <w:tcPr>
            <w:tcW w:w="3780" w:type="dxa"/>
            <w:tcBorders>
              <w:top w:val="dotted" w:color="auto" w:sz="4" w:space="0"/>
              <w:left w:val="dotted" w:color="auto" w:sz="4" w:space="0"/>
              <w:bottom w:val="dotted" w:color="auto" w:sz="4" w:space="0"/>
              <w:right w:val="dotted" w:color="auto" w:sz="4" w:space="0"/>
            </w:tcBorders>
            <w:vAlign w:val="center"/>
          </w:tcPr>
          <w:p w14:paraId="4BFFA369">
            <w:pPr>
              <w:spacing w:line="240" w:lineRule="exact"/>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城乡基本养老保险参保及待遇享受人数</w:t>
            </w:r>
          </w:p>
        </w:tc>
        <w:tc>
          <w:tcPr>
            <w:tcW w:w="718" w:type="dxa"/>
            <w:tcBorders>
              <w:top w:val="dotted" w:color="auto" w:sz="4" w:space="0"/>
              <w:left w:val="dotted" w:color="auto" w:sz="4" w:space="0"/>
              <w:bottom w:val="dotted" w:color="auto" w:sz="4" w:space="0"/>
              <w:right w:val="dotted" w:color="auto" w:sz="4" w:space="0"/>
            </w:tcBorders>
            <w:vAlign w:val="center"/>
          </w:tcPr>
          <w:p w14:paraId="706745B2">
            <w:pPr>
              <w:spacing w:line="240" w:lineRule="exact"/>
              <w:jc w:val="center"/>
              <w:rPr>
                <w:rFonts w:hint="eastAsia"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万人</w:t>
            </w:r>
          </w:p>
        </w:tc>
        <w:tc>
          <w:tcPr>
            <w:tcW w:w="2198" w:type="dxa"/>
            <w:tcBorders>
              <w:top w:val="dotted" w:color="auto" w:sz="4" w:space="0"/>
              <w:left w:val="dotted" w:color="auto" w:sz="4" w:space="0"/>
              <w:bottom w:val="dotted" w:color="auto" w:sz="4" w:space="0"/>
              <w:right w:val="dotted" w:color="auto" w:sz="4" w:space="0"/>
            </w:tcBorders>
            <w:vAlign w:val="center"/>
          </w:tcPr>
          <w:p w14:paraId="65F92482">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43.6</w:t>
            </w:r>
          </w:p>
        </w:tc>
        <w:tc>
          <w:tcPr>
            <w:tcW w:w="885" w:type="dxa"/>
            <w:tcBorders>
              <w:top w:val="dotted" w:color="auto" w:sz="4" w:space="0"/>
              <w:left w:val="dotted" w:color="auto" w:sz="4" w:space="0"/>
              <w:bottom w:val="dotted" w:color="auto" w:sz="4" w:space="0"/>
              <w:right w:val="nil"/>
            </w:tcBorders>
            <w:vAlign w:val="center"/>
          </w:tcPr>
          <w:p w14:paraId="0C7D75D6">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40.65</w:t>
            </w:r>
          </w:p>
        </w:tc>
        <w:tc>
          <w:tcPr>
            <w:tcW w:w="859" w:type="dxa"/>
            <w:tcBorders>
              <w:top w:val="dotted" w:color="auto" w:sz="4" w:space="0"/>
              <w:left w:val="dotted" w:color="auto" w:sz="4" w:space="0"/>
              <w:bottom w:val="dotted" w:color="auto" w:sz="4" w:space="0"/>
              <w:right w:val="nil"/>
            </w:tcBorders>
            <w:vAlign w:val="center"/>
          </w:tcPr>
          <w:p w14:paraId="029344C1">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w:t>
            </w:r>
          </w:p>
        </w:tc>
        <w:tc>
          <w:tcPr>
            <w:tcW w:w="832" w:type="dxa"/>
            <w:tcBorders>
              <w:top w:val="dotted" w:color="auto" w:sz="4" w:space="0"/>
              <w:left w:val="dotted" w:color="auto" w:sz="4" w:space="0"/>
              <w:bottom w:val="dotted" w:color="auto" w:sz="4" w:space="0"/>
              <w:right w:val="nil"/>
            </w:tcBorders>
            <w:vAlign w:val="center"/>
          </w:tcPr>
          <w:p w14:paraId="4FB0C7E5">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是</w:t>
            </w:r>
          </w:p>
        </w:tc>
      </w:tr>
      <w:tr w14:paraId="50F9019F">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454" w:hRule="exact"/>
          <w:jc w:val="center"/>
        </w:trPr>
        <w:tc>
          <w:tcPr>
            <w:tcW w:w="611" w:type="dxa"/>
            <w:vMerge w:val="continue"/>
            <w:tcBorders>
              <w:left w:val="nil"/>
              <w:right w:val="dotted" w:color="auto" w:sz="4" w:space="0"/>
            </w:tcBorders>
            <w:vAlign w:val="center"/>
          </w:tcPr>
          <w:p w14:paraId="2B0E268A">
            <w:pPr>
              <w:spacing w:line="240" w:lineRule="exact"/>
              <w:jc w:val="center"/>
              <w:rPr>
                <w:rFonts w:hint="default" w:ascii="Times New Roman" w:hAnsi="Times New Roman" w:eastAsia="方正仿宋简体" w:cs="Times New Roman"/>
                <w:sz w:val="20"/>
                <w:szCs w:val="20"/>
              </w:rPr>
            </w:pPr>
          </w:p>
        </w:tc>
        <w:tc>
          <w:tcPr>
            <w:tcW w:w="525" w:type="dxa"/>
            <w:tcBorders>
              <w:top w:val="dotted" w:color="auto" w:sz="4" w:space="0"/>
              <w:left w:val="dotted" w:color="auto" w:sz="4" w:space="0"/>
              <w:bottom w:val="dotted" w:color="auto" w:sz="4" w:space="0"/>
              <w:right w:val="dotted" w:color="auto" w:sz="4" w:space="0"/>
            </w:tcBorders>
            <w:vAlign w:val="center"/>
          </w:tcPr>
          <w:p w14:paraId="75AD0DF5">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15</w:t>
            </w:r>
          </w:p>
        </w:tc>
        <w:tc>
          <w:tcPr>
            <w:tcW w:w="3780" w:type="dxa"/>
            <w:tcBorders>
              <w:top w:val="dotted" w:color="auto" w:sz="4" w:space="0"/>
              <w:left w:val="dotted" w:color="auto" w:sz="4" w:space="0"/>
              <w:bottom w:val="dotted" w:color="auto" w:sz="4" w:space="0"/>
              <w:right w:val="dotted" w:color="auto" w:sz="4" w:space="0"/>
            </w:tcBorders>
            <w:vAlign w:val="center"/>
          </w:tcPr>
          <w:p w14:paraId="18A73E1C">
            <w:pPr>
              <w:spacing w:line="240" w:lineRule="exact"/>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基本医疗保险参保人数</w:t>
            </w:r>
          </w:p>
        </w:tc>
        <w:tc>
          <w:tcPr>
            <w:tcW w:w="718" w:type="dxa"/>
            <w:tcBorders>
              <w:top w:val="dotted" w:color="auto" w:sz="4" w:space="0"/>
              <w:left w:val="dotted" w:color="auto" w:sz="4" w:space="0"/>
              <w:bottom w:val="dotted" w:color="auto" w:sz="4" w:space="0"/>
              <w:right w:val="dotted" w:color="auto" w:sz="4" w:space="0"/>
            </w:tcBorders>
            <w:vAlign w:val="center"/>
          </w:tcPr>
          <w:p w14:paraId="43A91233">
            <w:pPr>
              <w:spacing w:line="240" w:lineRule="exact"/>
              <w:jc w:val="center"/>
              <w:rPr>
                <w:rFonts w:hint="eastAsia"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人</w:t>
            </w:r>
          </w:p>
        </w:tc>
        <w:tc>
          <w:tcPr>
            <w:tcW w:w="2198" w:type="dxa"/>
            <w:tcBorders>
              <w:top w:val="dotted" w:color="auto" w:sz="4" w:space="0"/>
              <w:left w:val="dotted" w:color="auto" w:sz="4" w:space="0"/>
              <w:bottom w:val="dotted" w:color="auto" w:sz="4" w:space="0"/>
              <w:right w:val="dotted" w:color="auto" w:sz="4" w:space="0"/>
            </w:tcBorders>
            <w:vAlign w:val="center"/>
          </w:tcPr>
          <w:p w14:paraId="173861CA">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达市定目标</w:t>
            </w:r>
          </w:p>
        </w:tc>
        <w:tc>
          <w:tcPr>
            <w:tcW w:w="2576" w:type="dxa"/>
            <w:gridSpan w:val="3"/>
            <w:tcBorders>
              <w:top w:val="dotted" w:color="auto" w:sz="4" w:space="0"/>
              <w:left w:val="dotted" w:color="auto" w:sz="4" w:space="0"/>
              <w:bottom w:val="dotted" w:color="auto" w:sz="4" w:space="0"/>
              <w:right w:val="nil"/>
            </w:tcBorders>
            <w:vAlign w:val="center"/>
          </w:tcPr>
          <w:p w14:paraId="71FAD6A5">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highlight w:val="none"/>
                <w:lang w:val="en-US" w:eastAsia="zh-CN"/>
              </w:rPr>
              <w:t>583061</w:t>
            </w:r>
          </w:p>
        </w:tc>
      </w:tr>
      <w:tr w14:paraId="78C74580">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454" w:hRule="exact"/>
          <w:jc w:val="center"/>
        </w:trPr>
        <w:tc>
          <w:tcPr>
            <w:tcW w:w="611" w:type="dxa"/>
            <w:vMerge w:val="continue"/>
            <w:tcBorders>
              <w:left w:val="nil"/>
              <w:right w:val="dotted" w:color="auto" w:sz="4" w:space="0"/>
            </w:tcBorders>
            <w:vAlign w:val="center"/>
          </w:tcPr>
          <w:p w14:paraId="5C3C74C5">
            <w:pPr>
              <w:spacing w:line="240" w:lineRule="exact"/>
              <w:jc w:val="center"/>
              <w:rPr>
                <w:rFonts w:hint="default" w:ascii="Times New Roman" w:hAnsi="Times New Roman" w:eastAsia="方正仿宋简体" w:cs="Times New Roman"/>
                <w:sz w:val="20"/>
                <w:szCs w:val="20"/>
              </w:rPr>
            </w:pPr>
          </w:p>
        </w:tc>
        <w:tc>
          <w:tcPr>
            <w:tcW w:w="525" w:type="dxa"/>
            <w:tcBorders>
              <w:top w:val="dotted" w:color="auto" w:sz="4" w:space="0"/>
              <w:left w:val="dotted" w:color="auto" w:sz="4" w:space="0"/>
              <w:bottom w:val="dotted" w:color="auto" w:sz="4" w:space="0"/>
              <w:right w:val="dotted" w:color="auto" w:sz="4" w:space="0"/>
            </w:tcBorders>
            <w:vAlign w:val="center"/>
          </w:tcPr>
          <w:p w14:paraId="130A373F">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16</w:t>
            </w:r>
          </w:p>
        </w:tc>
        <w:tc>
          <w:tcPr>
            <w:tcW w:w="3780" w:type="dxa"/>
            <w:tcBorders>
              <w:top w:val="dotted" w:color="auto" w:sz="4" w:space="0"/>
              <w:left w:val="dotted" w:color="auto" w:sz="4" w:space="0"/>
              <w:bottom w:val="dotted" w:color="auto" w:sz="4" w:space="0"/>
              <w:right w:val="dotted" w:color="auto" w:sz="4" w:space="0"/>
            </w:tcBorders>
            <w:shd w:val="clear" w:color="auto" w:fill="auto"/>
            <w:vAlign w:val="center"/>
          </w:tcPr>
          <w:p w14:paraId="0507A60B">
            <w:pPr>
              <w:spacing w:line="240" w:lineRule="exact"/>
              <w:rPr>
                <w:rFonts w:hint="default" w:ascii="Times New Roman" w:hAnsi="Times New Roman" w:eastAsia="方正仿宋简体" w:cs="Times New Roman"/>
                <w:kern w:val="2"/>
                <w:sz w:val="20"/>
                <w:szCs w:val="20"/>
                <w:lang w:val="en-US" w:eastAsia="zh-CN" w:bidi="ar-SA"/>
              </w:rPr>
            </w:pPr>
            <w:r>
              <w:rPr>
                <w:rFonts w:hint="default" w:ascii="Times New Roman" w:hAnsi="Times New Roman" w:eastAsia="方正仿宋简体" w:cs="Times New Roman"/>
                <w:sz w:val="20"/>
                <w:szCs w:val="20"/>
              </w:rPr>
              <w:t>城镇新增就业人数</w:t>
            </w:r>
          </w:p>
        </w:tc>
        <w:tc>
          <w:tcPr>
            <w:tcW w:w="718" w:type="dxa"/>
            <w:tcBorders>
              <w:top w:val="dotted" w:color="auto" w:sz="4" w:space="0"/>
              <w:left w:val="dotted" w:color="auto" w:sz="4" w:space="0"/>
              <w:bottom w:val="dotted" w:color="auto" w:sz="4" w:space="0"/>
              <w:right w:val="dotted" w:color="auto" w:sz="4" w:space="0"/>
            </w:tcBorders>
            <w:shd w:val="clear" w:color="auto" w:fill="auto"/>
            <w:vAlign w:val="center"/>
          </w:tcPr>
          <w:p w14:paraId="54EC10B5">
            <w:pPr>
              <w:spacing w:line="240" w:lineRule="exact"/>
              <w:jc w:val="center"/>
              <w:rPr>
                <w:rFonts w:hint="default" w:ascii="Times New Roman" w:hAnsi="Times New Roman" w:eastAsia="方正仿宋简体" w:cs="Times New Roman"/>
                <w:kern w:val="2"/>
                <w:sz w:val="20"/>
                <w:szCs w:val="20"/>
                <w:lang w:val="en-US" w:eastAsia="zh-CN" w:bidi="ar-SA"/>
              </w:rPr>
            </w:pPr>
            <w:r>
              <w:rPr>
                <w:rFonts w:hint="default" w:ascii="Times New Roman" w:hAnsi="Times New Roman" w:eastAsia="方正仿宋简体" w:cs="Times New Roman"/>
                <w:sz w:val="20"/>
                <w:szCs w:val="20"/>
              </w:rPr>
              <w:t>人</w:t>
            </w:r>
          </w:p>
        </w:tc>
        <w:tc>
          <w:tcPr>
            <w:tcW w:w="2198" w:type="dxa"/>
            <w:tcBorders>
              <w:top w:val="dotted" w:color="auto" w:sz="4" w:space="0"/>
              <w:left w:val="dotted" w:color="auto" w:sz="4" w:space="0"/>
              <w:bottom w:val="dotted" w:color="auto" w:sz="4" w:space="0"/>
              <w:right w:val="dotted" w:color="auto" w:sz="4" w:space="0"/>
            </w:tcBorders>
            <w:shd w:val="clear" w:color="auto" w:fill="auto"/>
            <w:vAlign w:val="center"/>
          </w:tcPr>
          <w:p w14:paraId="4A3B3F78">
            <w:pPr>
              <w:spacing w:line="240" w:lineRule="exact"/>
              <w:jc w:val="center"/>
              <w:rPr>
                <w:rFonts w:hint="default" w:ascii="Times New Roman" w:hAnsi="Times New Roman" w:eastAsia="方正仿宋简体" w:cs="Times New Roman"/>
                <w:kern w:val="2"/>
                <w:sz w:val="20"/>
                <w:szCs w:val="20"/>
                <w:lang w:val="en-US" w:eastAsia="zh-CN" w:bidi="ar-SA"/>
              </w:rPr>
            </w:pPr>
            <w:r>
              <w:rPr>
                <w:rFonts w:hint="default" w:ascii="Times New Roman" w:hAnsi="Times New Roman" w:eastAsia="方正仿宋简体" w:cs="Times New Roman"/>
                <w:sz w:val="20"/>
                <w:szCs w:val="20"/>
              </w:rPr>
              <w:t>7</w:t>
            </w:r>
            <w:r>
              <w:rPr>
                <w:rFonts w:hint="eastAsia" w:ascii="Times New Roman" w:hAnsi="Times New Roman" w:eastAsia="方正仿宋简体" w:cs="Times New Roman"/>
                <w:sz w:val="20"/>
                <w:szCs w:val="20"/>
                <w:lang w:val="en-US" w:eastAsia="zh-CN"/>
              </w:rPr>
              <w:t>3</w:t>
            </w:r>
            <w:r>
              <w:rPr>
                <w:rFonts w:hint="default" w:ascii="Times New Roman" w:hAnsi="Times New Roman" w:eastAsia="方正仿宋简体" w:cs="Times New Roman"/>
                <w:sz w:val="20"/>
                <w:szCs w:val="20"/>
              </w:rPr>
              <w:t>00</w:t>
            </w:r>
          </w:p>
        </w:tc>
        <w:tc>
          <w:tcPr>
            <w:tcW w:w="885" w:type="dxa"/>
            <w:tcBorders>
              <w:top w:val="dotted" w:color="auto" w:sz="4" w:space="0"/>
              <w:left w:val="dotted" w:color="auto" w:sz="4" w:space="0"/>
              <w:bottom w:val="dotted" w:color="auto" w:sz="4" w:space="0"/>
              <w:right w:val="nil"/>
            </w:tcBorders>
            <w:vAlign w:val="center"/>
          </w:tcPr>
          <w:p w14:paraId="66224F72">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3654</w:t>
            </w:r>
          </w:p>
        </w:tc>
        <w:tc>
          <w:tcPr>
            <w:tcW w:w="859" w:type="dxa"/>
            <w:tcBorders>
              <w:top w:val="dotted" w:color="auto" w:sz="4" w:space="0"/>
              <w:left w:val="dotted" w:color="auto" w:sz="4" w:space="0"/>
              <w:bottom w:val="dotted" w:color="auto" w:sz="4" w:space="0"/>
              <w:right w:val="nil"/>
            </w:tcBorders>
            <w:vAlign w:val="center"/>
          </w:tcPr>
          <w:p w14:paraId="626B51A5">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w:t>
            </w:r>
          </w:p>
        </w:tc>
        <w:tc>
          <w:tcPr>
            <w:tcW w:w="832" w:type="dxa"/>
            <w:tcBorders>
              <w:top w:val="dotted" w:color="auto" w:sz="4" w:space="0"/>
              <w:left w:val="dotted" w:color="auto" w:sz="4" w:space="0"/>
              <w:bottom w:val="dotted" w:color="auto" w:sz="4" w:space="0"/>
              <w:right w:val="nil"/>
            </w:tcBorders>
            <w:vAlign w:val="center"/>
          </w:tcPr>
          <w:p w14:paraId="108C5807">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是</w:t>
            </w:r>
          </w:p>
        </w:tc>
      </w:tr>
      <w:tr w14:paraId="10EDCFD6">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454" w:hRule="exact"/>
          <w:jc w:val="center"/>
        </w:trPr>
        <w:tc>
          <w:tcPr>
            <w:tcW w:w="611" w:type="dxa"/>
            <w:vMerge w:val="continue"/>
            <w:tcBorders>
              <w:left w:val="nil"/>
              <w:right w:val="dotted" w:color="auto" w:sz="4" w:space="0"/>
            </w:tcBorders>
            <w:vAlign w:val="center"/>
          </w:tcPr>
          <w:p w14:paraId="0EE795E4">
            <w:pPr>
              <w:spacing w:line="240" w:lineRule="exact"/>
              <w:jc w:val="center"/>
              <w:rPr>
                <w:rFonts w:hint="default" w:ascii="Times New Roman" w:hAnsi="Times New Roman" w:eastAsia="方正仿宋简体" w:cs="Times New Roman"/>
                <w:sz w:val="20"/>
                <w:szCs w:val="20"/>
              </w:rPr>
            </w:pPr>
          </w:p>
        </w:tc>
        <w:tc>
          <w:tcPr>
            <w:tcW w:w="525" w:type="dxa"/>
            <w:tcBorders>
              <w:top w:val="dotted" w:color="auto" w:sz="4" w:space="0"/>
              <w:left w:val="dotted" w:color="auto" w:sz="4" w:space="0"/>
              <w:bottom w:val="dotted" w:color="auto" w:sz="4" w:space="0"/>
              <w:right w:val="dotted" w:color="auto" w:sz="4" w:space="0"/>
            </w:tcBorders>
            <w:vAlign w:val="center"/>
          </w:tcPr>
          <w:p w14:paraId="3ABB1C85">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17</w:t>
            </w:r>
          </w:p>
        </w:tc>
        <w:tc>
          <w:tcPr>
            <w:tcW w:w="3780" w:type="dxa"/>
            <w:tcBorders>
              <w:top w:val="dotted" w:color="auto" w:sz="4" w:space="0"/>
              <w:left w:val="dotted" w:color="auto" w:sz="4" w:space="0"/>
              <w:bottom w:val="dotted" w:color="auto" w:sz="4" w:space="0"/>
              <w:right w:val="dotted" w:color="auto" w:sz="4" w:space="0"/>
            </w:tcBorders>
            <w:vAlign w:val="center"/>
          </w:tcPr>
          <w:p w14:paraId="3741E76B">
            <w:pPr>
              <w:spacing w:line="240" w:lineRule="exact"/>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新增就业参保大学生人数</w:t>
            </w:r>
          </w:p>
        </w:tc>
        <w:tc>
          <w:tcPr>
            <w:tcW w:w="718" w:type="dxa"/>
            <w:tcBorders>
              <w:top w:val="dotted" w:color="auto" w:sz="4" w:space="0"/>
              <w:left w:val="dotted" w:color="auto" w:sz="4" w:space="0"/>
              <w:bottom w:val="dotted" w:color="auto" w:sz="4" w:space="0"/>
              <w:right w:val="dotted" w:color="auto" w:sz="4" w:space="0"/>
            </w:tcBorders>
            <w:vAlign w:val="center"/>
          </w:tcPr>
          <w:p w14:paraId="7657CA2F">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人</w:t>
            </w:r>
          </w:p>
        </w:tc>
        <w:tc>
          <w:tcPr>
            <w:tcW w:w="2198" w:type="dxa"/>
            <w:tcBorders>
              <w:top w:val="dotted" w:color="auto" w:sz="4" w:space="0"/>
              <w:left w:val="dotted" w:color="auto" w:sz="4" w:space="0"/>
              <w:bottom w:val="dotted" w:color="auto" w:sz="4" w:space="0"/>
              <w:right w:val="dotted" w:color="auto" w:sz="4" w:space="0"/>
            </w:tcBorders>
            <w:vAlign w:val="center"/>
          </w:tcPr>
          <w:p w14:paraId="20F476DF">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1500</w:t>
            </w:r>
          </w:p>
        </w:tc>
        <w:tc>
          <w:tcPr>
            <w:tcW w:w="885" w:type="dxa"/>
            <w:tcBorders>
              <w:top w:val="dotted" w:color="auto" w:sz="4" w:space="0"/>
              <w:left w:val="dotted" w:color="auto" w:sz="4" w:space="0"/>
              <w:bottom w:val="dotted" w:color="auto" w:sz="4" w:space="0"/>
              <w:right w:val="nil"/>
            </w:tcBorders>
            <w:vAlign w:val="center"/>
          </w:tcPr>
          <w:p w14:paraId="6A4659D4">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755</w:t>
            </w:r>
          </w:p>
        </w:tc>
        <w:tc>
          <w:tcPr>
            <w:tcW w:w="859" w:type="dxa"/>
            <w:tcBorders>
              <w:top w:val="dotted" w:color="auto" w:sz="4" w:space="0"/>
              <w:left w:val="dotted" w:color="auto" w:sz="4" w:space="0"/>
              <w:bottom w:val="dotted" w:color="auto" w:sz="4" w:space="0"/>
              <w:right w:val="nil"/>
            </w:tcBorders>
            <w:vAlign w:val="center"/>
          </w:tcPr>
          <w:p w14:paraId="26B3EC77">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w:t>
            </w:r>
          </w:p>
        </w:tc>
        <w:tc>
          <w:tcPr>
            <w:tcW w:w="832" w:type="dxa"/>
            <w:tcBorders>
              <w:top w:val="dotted" w:color="auto" w:sz="4" w:space="0"/>
              <w:left w:val="dotted" w:color="auto" w:sz="4" w:space="0"/>
              <w:bottom w:val="dotted" w:color="auto" w:sz="4" w:space="0"/>
              <w:right w:val="nil"/>
            </w:tcBorders>
            <w:vAlign w:val="center"/>
          </w:tcPr>
          <w:p w14:paraId="5BEFB8AB">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是</w:t>
            </w:r>
          </w:p>
        </w:tc>
      </w:tr>
      <w:tr w14:paraId="63CD0360">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454" w:hRule="exact"/>
          <w:jc w:val="center"/>
        </w:trPr>
        <w:tc>
          <w:tcPr>
            <w:tcW w:w="611" w:type="dxa"/>
            <w:vMerge w:val="continue"/>
            <w:tcBorders>
              <w:left w:val="nil"/>
              <w:right w:val="dotted" w:color="auto" w:sz="4" w:space="0"/>
            </w:tcBorders>
            <w:vAlign w:val="center"/>
          </w:tcPr>
          <w:p w14:paraId="4F3BBA73">
            <w:pPr>
              <w:spacing w:line="240" w:lineRule="exact"/>
              <w:jc w:val="center"/>
              <w:rPr>
                <w:rFonts w:hint="default" w:ascii="Times New Roman" w:hAnsi="Times New Roman" w:eastAsia="方正仿宋简体" w:cs="Times New Roman"/>
                <w:sz w:val="20"/>
                <w:szCs w:val="20"/>
              </w:rPr>
            </w:pPr>
          </w:p>
        </w:tc>
        <w:tc>
          <w:tcPr>
            <w:tcW w:w="525" w:type="dxa"/>
            <w:tcBorders>
              <w:top w:val="dotted" w:color="auto" w:sz="4" w:space="0"/>
              <w:left w:val="dotted" w:color="auto" w:sz="4" w:space="0"/>
              <w:bottom w:val="dotted" w:color="auto" w:sz="4" w:space="0"/>
              <w:right w:val="dotted" w:color="auto" w:sz="4" w:space="0"/>
            </w:tcBorders>
            <w:vAlign w:val="center"/>
          </w:tcPr>
          <w:p w14:paraId="2924BADC">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18</w:t>
            </w:r>
          </w:p>
        </w:tc>
        <w:tc>
          <w:tcPr>
            <w:tcW w:w="3780" w:type="dxa"/>
            <w:tcBorders>
              <w:top w:val="dotted" w:color="auto" w:sz="4" w:space="0"/>
              <w:left w:val="dotted" w:color="auto" w:sz="4" w:space="0"/>
              <w:bottom w:val="dotted" w:color="auto" w:sz="4" w:space="0"/>
              <w:right w:val="dotted" w:color="auto" w:sz="4" w:space="0"/>
            </w:tcBorders>
            <w:vAlign w:val="center"/>
          </w:tcPr>
          <w:p w14:paraId="0121438C">
            <w:pPr>
              <w:spacing w:line="240" w:lineRule="exact"/>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普惠支持型养老机构床位数占比</w:t>
            </w:r>
          </w:p>
        </w:tc>
        <w:tc>
          <w:tcPr>
            <w:tcW w:w="718" w:type="dxa"/>
            <w:tcBorders>
              <w:top w:val="dotted" w:color="auto" w:sz="4" w:space="0"/>
              <w:left w:val="dotted" w:color="auto" w:sz="4" w:space="0"/>
              <w:bottom w:val="dotted" w:color="auto" w:sz="4" w:space="0"/>
              <w:right w:val="dotted" w:color="auto" w:sz="4" w:space="0"/>
            </w:tcBorders>
            <w:vAlign w:val="center"/>
          </w:tcPr>
          <w:p w14:paraId="7428F91E">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w:t>
            </w:r>
          </w:p>
        </w:tc>
        <w:tc>
          <w:tcPr>
            <w:tcW w:w="2198" w:type="dxa"/>
            <w:tcBorders>
              <w:top w:val="dotted" w:color="auto" w:sz="4" w:space="0"/>
              <w:left w:val="dotted" w:color="auto" w:sz="4" w:space="0"/>
              <w:bottom w:val="dotted" w:color="auto" w:sz="4" w:space="0"/>
              <w:right w:val="dotted" w:color="auto" w:sz="4" w:space="0"/>
            </w:tcBorders>
            <w:vAlign w:val="center"/>
          </w:tcPr>
          <w:p w14:paraId="62E9FAFE">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12</w:t>
            </w:r>
          </w:p>
        </w:tc>
        <w:tc>
          <w:tcPr>
            <w:tcW w:w="2576" w:type="dxa"/>
            <w:gridSpan w:val="3"/>
            <w:tcBorders>
              <w:top w:val="dotted" w:color="auto" w:sz="4" w:space="0"/>
              <w:left w:val="dotted" w:color="auto" w:sz="4" w:space="0"/>
              <w:bottom w:val="dotted" w:color="auto" w:sz="4" w:space="0"/>
              <w:right w:val="nil"/>
            </w:tcBorders>
            <w:vAlign w:val="center"/>
          </w:tcPr>
          <w:p w14:paraId="68F03FD0">
            <w:pPr>
              <w:spacing w:line="240" w:lineRule="exact"/>
              <w:jc w:val="center"/>
              <w:rPr>
                <w:rFonts w:hint="default" w:ascii="Times New Roman" w:hAnsi="Times New Roman" w:eastAsia="方正仿宋简体" w:cs="Times New Roman"/>
                <w:sz w:val="20"/>
                <w:szCs w:val="20"/>
              </w:rPr>
            </w:pPr>
            <w:r>
              <w:rPr>
                <w:rFonts w:hint="eastAsia" w:ascii="Times New Roman" w:hAnsi="Times New Roman" w:eastAsia="方正仿宋简体" w:cs="Times New Roman"/>
                <w:sz w:val="20"/>
                <w:szCs w:val="20"/>
                <w:lang w:val="en-US" w:eastAsia="zh-CN"/>
              </w:rPr>
              <w:t>年度指标</w:t>
            </w:r>
          </w:p>
        </w:tc>
      </w:tr>
      <w:tr w14:paraId="38ED821E">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454" w:hRule="exact"/>
          <w:jc w:val="center"/>
        </w:trPr>
        <w:tc>
          <w:tcPr>
            <w:tcW w:w="611" w:type="dxa"/>
            <w:vMerge w:val="continue"/>
            <w:tcBorders>
              <w:left w:val="nil"/>
              <w:right w:val="dotted" w:color="auto" w:sz="4" w:space="0"/>
            </w:tcBorders>
            <w:vAlign w:val="center"/>
          </w:tcPr>
          <w:p w14:paraId="4B075A88">
            <w:pPr>
              <w:spacing w:line="240" w:lineRule="exact"/>
              <w:jc w:val="center"/>
              <w:rPr>
                <w:rFonts w:hint="default" w:ascii="Times New Roman" w:hAnsi="Times New Roman" w:eastAsia="方正仿宋简体" w:cs="Times New Roman"/>
                <w:sz w:val="20"/>
                <w:szCs w:val="20"/>
              </w:rPr>
            </w:pPr>
          </w:p>
        </w:tc>
        <w:tc>
          <w:tcPr>
            <w:tcW w:w="525" w:type="dxa"/>
            <w:tcBorders>
              <w:top w:val="dotted" w:color="auto" w:sz="4" w:space="0"/>
              <w:left w:val="dotted" w:color="auto" w:sz="4" w:space="0"/>
              <w:bottom w:val="dotted" w:color="auto" w:sz="4" w:space="0"/>
              <w:right w:val="dotted" w:color="auto" w:sz="4" w:space="0"/>
            </w:tcBorders>
            <w:vAlign w:val="center"/>
          </w:tcPr>
          <w:p w14:paraId="7428F961">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19</w:t>
            </w:r>
          </w:p>
        </w:tc>
        <w:tc>
          <w:tcPr>
            <w:tcW w:w="3780" w:type="dxa"/>
            <w:tcBorders>
              <w:top w:val="dotted" w:color="auto" w:sz="4" w:space="0"/>
              <w:left w:val="dotted" w:color="auto" w:sz="4" w:space="0"/>
              <w:bottom w:val="dotted" w:color="auto" w:sz="4" w:space="0"/>
              <w:right w:val="dotted" w:color="auto" w:sz="4" w:space="0"/>
            </w:tcBorders>
            <w:vAlign w:val="center"/>
          </w:tcPr>
          <w:p w14:paraId="62F4069B">
            <w:pPr>
              <w:spacing w:line="240" w:lineRule="exact"/>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每千</w:t>
            </w:r>
            <w:r>
              <w:rPr>
                <w:rFonts w:hint="eastAsia" w:ascii="Times New Roman" w:hAnsi="Times New Roman" w:eastAsia="方正仿宋简体" w:cs="Times New Roman"/>
                <w:sz w:val="20"/>
                <w:szCs w:val="20"/>
                <w:lang w:val="en-US" w:eastAsia="zh-CN"/>
              </w:rPr>
              <w:t>名3岁以下</w:t>
            </w:r>
            <w:r>
              <w:rPr>
                <w:rFonts w:hint="default" w:ascii="Times New Roman" w:hAnsi="Times New Roman" w:eastAsia="方正仿宋简体" w:cs="Times New Roman"/>
                <w:sz w:val="20"/>
                <w:szCs w:val="20"/>
              </w:rPr>
              <w:t>婴幼儿</w:t>
            </w:r>
            <w:r>
              <w:rPr>
                <w:rFonts w:hint="eastAsia" w:ascii="Times New Roman" w:hAnsi="Times New Roman" w:eastAsia="方正仿宋简体" w:cs="Times New Roman"/>
                <w:sz w:val="20"/>
                <w:szCs w:val="20"/>
                <w:lang w:val="en-US" w:eastAsia="zh-CN"/>
              </w:rPr>
              <w:t>拥有</w:t>
            </w:r>
            <w:r>
              <w:rPr>
                <w:rFonts w:hint="default" w:ascii="Times New Roman" w:hAnsi="Times New Roman" w:eastAsia="方正仿宋简体" w:cs="Times New Roman"/>
                <w:sz w:val="20"/>
                <w:szCs w:val="20"/>
              </w:rPr>
              <w:t>托位数</w:t>
            </w:r>
          </w:p>
        </w:tc>
        <w:tc>
          <w:tcPr>
            <w:tcW w:w="718" w:type="dxa"/>
            <w:tcBorders>
              <w:top w:val="dotted" w:color="auto" w:sz="4" w:space="0"/>
              <w:left w:val="dotted" w:color="auto" w:sz="4" w:space="0"/>
              <w:bottom w:val="dotted" w:color="auto" w:sz="4" w:space="0"/>
              <w:right w:val="dotted" w:color="auto" w:sz="4" w:space="0"/>
            </w:tcBorders>
            <w:vAlign w:val="center"/>
          </w:tcPr>
          <w:p w14:paraId="46AE58A0">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个</w:t>
            </w:r>
          </w:p>
        </w:tc>
        <w:tc>
          <w:tcPr>
            <w:tcW w:w="2198" w:type="dxa"/>
            <w:tcBorders>
              <w:top w:val="dotted" w:color="auto" w:sz="4" w:space="0"/>
              <w:left w:val="dotted" w:color="auto" w:sz="4" w:space="0"/>
              <w:bottom w:val="dotted" w:color="auto" w:sz="4" w:space="0"/>
              <w:right w:val="dotted" w:color="auto" w:sz="4" w:space="0"/>
            </w:tcBorders>
            <w:vAlign w:val="center"/>
          </w:tcPr>
          <w:p w14:paraId="298AD6AE">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280</w:t>
            </w:r>
          </w:p>
        </w:tc>
        <w:tc>
          <w:tcPr>
            <w:tcW w:w="885" w:type="dxa"/>
            <w:tcBorders>
              <w:top w:val="dotted" w:color="auto" w:sz="4" w:space="0"/>
              <w:left w:val="dotted" w:color="auto" w:sz="4" w:space="0"/>
              <w:bottom w:val="dotted" w:color="auto" w:sz="4" w:space="0"/>
              <w:right w:val="dotted" w:color="auto" w:sz="4" w:space="0"/>
            </w:tcBorders>
            <w:vAlign w:val="center"/>
          </w:tcPr>
          <w:p w14:paraId="4E5AA1E8">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300</w:t>
            </w:r>
          </w:p>
        </w:tc>
        <w:tc>
          <w:tcPr>
            <w:tcW w:w="859" w:type="dxa"/>
            <w:tcBorders>
              <w:top w:val="dotted" w:color="auto" w:sz="4" w:space="0"/>
              <w:left w:val="dotted" w:color="auto" w:sz="4" w:space="0"/>
              <w:bottom w:val="dotted" w:color="auto" w:sz="4" w:space="0"/>
              <w:right w:val="dotted" w:color="auto" w:sz="4" w:space="0"/>
            </w:tcBorders>
            <w:vAlign w:val="center"/>
          </w:tcPr>
          <w:p w14:paraId="0602332D">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w:t>
            </w:r>
          </w:p>
        </w:tc>
        <w:tc>
          <w:tcPr>
            <w:tcW w:w="832" w:type="dxa"/>
            <w:tcBorders>
              <w:top w:val="dotted" w:color="auto" w:sz="4" w:space="0"/>
              <w:left w:val="dotted" w:color="auto" w:sz="4" w:space="0"/>
              <w:bottom w:val="dotted" w:color="auto" w:sz="4" w:space="0"/>
              <w:right w:val="nil"/>
            </w:tcBorders>
            <w:vAlign w:val="center"/>
          </w:tcPr>
          <w:p w14:paraId="1D71FC6C">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是</w:t>
            </w:r>
          </w:p>
        </w:tc>
      </w:tr>
      <w:tr w14:paraId="6E3BA1FC">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454" w:hRule="exact"/>
          <w:jc w:val="center"/>
        </w:trPr>
        <w:tc>
          <w:tcPr>
            <w:tcW w:w="611" w:type="dxa"/>
            <w:vMerge w:val="continue"/>
            <w:tcBorders>
              <w:left w:val="nil"/>
              <w:right w:val="dotted" w:color="auto" w:sz="4" w:space="0"/>
            </w:tcBorders>
            <w:vAlign w:val="center"/>
          </w:tcPr>
          <w:p w14:paraId="51098A6B">
            <w:pPr>
              <w:spacing w:line="240" w:lineRule="exact"/>
              <w:jc w:val="center"/>
              <w:rPr>
                <w:rFonts w:hint="default" w:ascii="Times New Roman" w:hAnsi="Times New Roman" w:eastAsia="方正仿宋简体" w:cs="Times New Roman"/>
                <w:sz w:val="20"/>
                <w:szCs w:val="20"/>
              </w:rPr>
            </w:pPr>
          </w:p>
        </w:tc>
        <w:tc>
          <w:tcPr>
            <w:tcW w:w="525" w:type="dxa"/>
            <w:tcBorders>
              <w:top w:val="dotted" w:color="auto" w:sz="4" w:space="0"/>
              <w:left w:val="dotted" w:color="auto" w:sz="4" w:space="0"/>
              <w:bottom w:val="dotted" w:color="auto" w:sz="4" w:space="0"/>
              <w:right w:val="dotted" w:color="auto" w:sz="4" w:space="0"/>
            </w:tcBorders>
            <w:vAlign w:val="center"/>
          </w:tcPr>
          <w:p w14:paraId="7610180A">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20</w:t>
            </w:r>
          </w:p>
        </w:tc>
        <w:tc>
          <w:tcPr>
            <w:tcW w:w="3780" w:type="dxa"/>
            <w:tcBorders>
              <w:top w:val="dotted" w:color="auto" w:sz="4" w:space="0"/>
              <w:left w:val="dotted" w:color="auto" w:sz="4" w:space="0"/>
              <w:bottom w:val="dotted" w:color="auto" w:sz="4" w:space="0"/>
              <w:right w:val="dotted" w:color="auto" w:sz="4" w:space="0"/>
            </w:tcBorders>
            <w:vAlign w:val="center"/>
          </w:tcPr>
          <w:p w14:paraId="62772A6C">
            <w:pPr>
              <w:spacing w:line="240" w:lineRule="exact"/>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文化产业增加值占地区生产总值比重</w:t>
            </w:r>
          </w:p>
        </w:tc>
        <w:tc>
          <w:tcPr>
            <w:tcW w:w="718" w:type="dxa"/>
            <w:tcBorders>
              <w:top w:val="dotted" w:color="auto" w:sz="4" w:space="0"/>
              <w:left w:val="dotted" w:color="auto" w:sz="4" w:space="0"/>
              <w:bottom w:val="dotted" w:color="auto" w:sz="4" w:space="0"/>
              <w:right w:val="dotted" w:color="auto" w:sz="4" w:space="0"/>
            </w:tcBorders>
            <w:vAlign w:val="center"/>
          </w:tcPr>
          <w:p w14:paraId="10A35591">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w:t>
            </w:r>
          </w:p>
        </w:tc>
        <w:tc>
          <w:tcPr>
            <w:tcW w:w="2198" w:type="dxa"/>
            <w:tcBorders>
              <w:top w:val="dotted" w:color="auto" w:sz="4" w:space="0"/>
              <w:left w:val="dotted" w:color="auto" w:sz="4" w:space="0"/>
              <w:bottom w:val="dotted" w:color="auto" w:sz="4" w:space="0"/>
              <w:right w:val="dotted" w:color="auto" w:sz="4" w:space="0"/>
            </w:tcBorders>
            <w:vAlign w:val="center"/>
          </w:tcPr>
          <w:p w14:paraId="65165777">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保持稳定</w:t>
            </w:r>
          </w:p>
        </w:tc>
        <w:tc>
          <w:tcPr>
            <w:tcW w:w="2576" w:type="dxa"/>
            <w:gridSpan w:val="3"/>
            <w:tcBorders>
              <w:top w:val="dotted" w:color="auto" w:sz="4" w:space="0"/>
              <w:left w:val="dotted" w:color="auto" w:sz="4" w:space="0"/>
              <w:bottom w:val="dotted" w:color="auto" w:sz="4" w:space="0"/>
              <w:right w:val="nil"/>
            </w:tcBorders>
            <w:vAlign w:val="center"/>
          </w:tcPr>
          <w:p w14:paraId="12179CA9">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年度指标</w:t>
            </w:r>
          </w:p>
        </w:tc>
      </w:tr>
      <w:tr w14:paraId="35D1BB35">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454" w:hRule="exact"/>
          <w:jc w:val="center"/>
        </w:trPr>
        <w:tc>
          <w:tcPr>
            <w:tcW w:w="611" w:type="dxa"/>
            <w:vMerge w:val="continue"/>
            <w:tcBorders>
              <w:left w:val="nil"/>
              <w:bottom w:val="dotted" w:color="auto" w:sz="4" w:space="0"/>
              <w:right w:val="dotted" w:color="auto" w:sz="4" w:space="0"/>
            </w:tcBorders>
            <w:vAlign w:val="center"/>
          </w:tcPr>
          <w:p w14:paraId="3CAF05DF">
            <w:pPr>
              <w:spacing w:line="240" w:lineRule="exact"/>
              <w:jc w:val="center"/>
              <w:rPr>
                <w:rFonts w:hint="default" w:ascii="Times New Roman" w:hAnsi="Times New Roman" w:eastAsia="方正仿宋简体" w:cs="Times New Roman"/>
                <w:sz w:val="20"/>
                <w:szCs w:val="20"/>
              </w:rPr>
            </w:pPr>
          </w:p>
        </w:tc>
        <w:tc>
          <w:tcPr>
            <w:tcW w:w="525" w:type="dxa"/>
            <w:tcBorders>
              <w:top w:val="dotted" w:color="auto" w:sz="4" w:space="0"/>
              <w:left w:val="dotted" w:color="auto" w:sz="4" w:space="0"/>
              <w:bottom w:val="dotted" w:color="auto" w:sz="4" w:space="0"/>
              <w:right w:val="dotted" w:color="auto" w:sz="4" w:space="0"/>
            </w:tcBorders>
            <w:vAlign w:val="center"/>
          </w:tcPr>
          <w:p w14:paraId="21810080">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21</w:t>
            </w:r>
          </w:p>
        </w:tc>
        <w:tc>
          <w:tcPr>
            <w:tcW w:w="3780" w:type="dxa"/>
            <w:tcBorders>
              <w:top w:val="dotted" w:color="auto" w:sz="4" w:space="0"/>
              <w:left w:val="dotted" w:color="auto" w:sz="4" w:space="0"/>
              <w:bottom w:val="dotted" w:color="auto" w:sz="4" w:space="0"/>
              <w:right w:val="dotted" w:color="auto" w:sz="4" w:space="0"/>
            </w:tcBorders>
            <w:vAlign w:val="center"/>
          </w:tcPr>
          <w:p w14:paraId="6CFCE2B9">
            <w:pPr>
              <w:spacing w:line="240" w:lineRule="exact"/>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全体居民人均可支配收入增速</w:t>
            </w:r>
          </w:p>
        </w:tc>
        <w:tc>
          <w:tcPr>
            <w:tcW w:w="718" w:type="dxa"/>
            <w:tcBorders>
              <w:top w:val="dotted" w:color="auto" w:sz="4" w:space="0"/>
              <w:left w:val="dotted" w:color="auto" w:sz="4" w:space="0"/>
              <w:bottom w:val="dotted" w:color="auto" w:sz="4" w:space="0"/>
              <w:right w:val="dotted" w:color="auto" w:sz="4" w:space="0"/>
            </w:tcBorders>
            <w:vAlign w:val="center"/>
          </w:tcPr>
          <w:p w14:paraId="3C92C433">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w:t>
            </w:r>
          </w:p>
        </w:tc>
        <w:tc>
          <w:tcPr>
            <w:tcW w:w="2198" w:type="dxa"/>
            <w:tcBorders>
              <w:top w:val="dotted" w:color="auto" w:sz="4" w:space="0"/>
              <w:left w:val="dotted" w:color="auto" w:sz="4" w:space="0"/>
              <w:bottom w:val="dotted" w:color="auto" w:sz="4" w:space="0"/>
              <w:right w:val="dotted" w:color="auto" w:sz="4" w:space="0"/>
            </w:tcBorders>
            <w:vAlign w:val="center"/>
          </w:tcPr>
          <w:p w14:paraId="657DAF11">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与经济增长基本同步</w:t>
            </w:r>
          </w:p>
        </w:tc>
        <w:tc>
          <w:tcPr>
            <w:tcW w:w="885" w:type="dxa"/>
            <w:tcBorders>
              <w:top w:val="dotted" w:color="auto" w:sz="4" w:space="0"/>
              <w:left w:val="dotted" w:color="auto" w:sz="4" w:space="0"/>
              <w:bottom w:val="dotted" w:color="auto" w:sz="4" w:space="0"/>
              <w:right w:val="dotted" w:color="auto" w:sz="4" w:space="0"/>
            </w:tcBorders>
            <w:vAlign w:val="center"/>
          </w:tcPr>
          <w:p w14:paraId="21B21783">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33262</w:t>
            </w:r>
          </w:p>
        </w:tc>
        <w:tc>
          <w:tcPr>
            <w:tcW w:w="859" w:type="dxa"/>
            <w:tcBorders>
              <w:top w:val="dotted" w:color="auto" w:sz="4" w:space="0"/>
              <w:left w:val="dotted" w:color="auto" w:sz="4" w:space="0"/>
              <w:bottom w:val="dotted" w:color="auto" w:sz="4" w:space="0"/>
              <w:right w:val="dotted" w:color="auto" w:sz="4" w:space="0"/>
            </w:tcBorders>
            <w:vAlign w:val="center"/>
          </w:tcPr>
          <w:p w14:paraId="483CCB7D">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4.5</w:t>
            </w:r>
          </w:p>
        </w:tc>
        <w:tc>
          <w:tcPr>
            <w:tcW w:w="832" w:type="dxa"/>
            <w:tcBorders>
              <w:top w:val="dotted" w:color="auto" w:sz="4" w:space="0"/>
              <w:left w:val="dotted" w:color="auto" w:sz="4" w:space="0"/>
              <w:bottom w:val="dotted" w:color="auto" w:sz="4" w:space="0"/>
              <w:right w:val="nil"/>
            </w:tcBorders>
            <w:vAlign w:val="center"/>
          </w:tcPr>
          <w:p w14:paraId="5F575E83">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是</w:t>
            </w:r>
          </w:p>
        </w:tc>
      </w:tr>
      <w:tr w14:paraId="1CE83AEE">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454" w:hRule="exact"/>
          <w:jc w:val="center"/>
        </w:trPr>
        <w:tc>
          <w:tcPr>
            <w:tcW w:w="611" w:type="dxa"/>
            <w:vMerge w:val="restart"/>
            <w:tcBorders>
              <w:top w:val="dotted" w:color="auto" w:sz="4" w:space="0"/>
              <w:left w:val="nil"/>
              <w:right w:val="dotted" w:color="auto" w:sz="4" w:space="0"/>
            </w:tcBorders>
            <w:vAlign w:val="center"/>
          </w:tcPr>
          <w:p w14:paraId="4A079E25">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生态环境</w:t>
            </w:r>
          </w:p>
        </w:tc>
        <w:tc>
          <w:tcPr>
            <w:tcW w:w="525" w:type="dxa"/>
            <w:tcBorders>
              <w:top w:val="dotted" w:color="auto" w:sz="4" w:space="0"/>
              <w:left w:val="dotted" w:color="auto" w:sz="4" w:space="0"/>
              <w:bottom w:val="dotted" w:color="auto" w:sz="4" w:space="0"/>
              <w:right w:val="dotted" w:color="auto" w:sz="4" w:space="0"/>
            </w:tcBorders>
            <w:vAlign w:val="center"/>
          </w:tcPr>
          <w:p w14:paraId="214ACCA2">
            <w:pPr>
              <w:spacing w:line="240" w:lineRule="exact"/>
              <w:jc w:val="center"/>
              <w:rPr>
                <w:rFonts w:hint="eastAsia" w:ascii="Times New Roman" w:hAnsi="Times New Roman" w:eastAsia="方正仿宋简体" w:cs="Times New Roman"/>
                <w:sz w:val="20"/>
                <w:szCs w:val="20"/>
                <w:lang w:eastAsia="zh-CN"/>
              </w:rPr>
            </w:pPr>
            <w:r>
              <w:rPr>
                <w:rFonts w:hint="default" w:ascii="Times New Roman" w:hAnsi="Times New Roman" w:eastAsia="方正仿宋简体" w:cs="Times New Roman"/>
                <w:sz w:val="20"/>
                <w:szCs w:val="20"/>
              </w:rPr>
              <w:t>2</w:t>
            </w:r>
            <w:r>
              <w:rPr>
                <w:rFonts w:hint="eastAsia" w:ascii="Times New Roman" w:hAnsi="Times New Roman" w:eastAsia="方正仿宋简体" w:cs="Times New Roman"/>
                <w:sz w:val="20"/>
                <w:szCs w:val="20"/>
                <w:lang w:val="en-US" w:eastAsia="zh-CN"/>
              </w:rPr>
              <w:t>2</w:t>
            </w:r>
          </w:p>
        </w:tc>
        <w:tc>
          <w:tcPr>
            <w:tcW w:w="3780" w:type="dxa"/>
            <w:tcBorders>
              <w:top w:val="dotted" w:color="auto" w:sz="4" w:space="0"/>
              <w:left w:val="dotted" w:color="auto" w:sz="4" w:space="0"/>
              <w:bottom w:val="dotted" w:color="auto" w:sz="4" w:space="0"/>
              <w:right w:val="dotted" w:color="auto" w:sz="4" w:space="0"/>
            </w:tcBorders>
            <w:vAlign w:val="center"/>
          </w:tcPr>
          <w:p w14:paraId="4D991880">
            <w:pPr>
              <w:spacing w:line="240" w:lineRule="exact"/>
              <w:rPr>
                <w:rFonts w:hint="default" w:ascii="Times New Roman" w:hAnsi="Times New Roman" w:eastAsia="方正仿宋简体" w:cs="Times New Roman"/>
                <w:sz w:val="20"/>
                <w:szCs w:val="20"/>
                <w:lang w:val="en-US" w:eastAsia="zh-CN"/>
              </w:rPr>
            </w:pPr>
            <w:r>
              <w:rPr>
                <w:rFonts w:hint="default" w:ascii="Times New Roman" w:hAnsi="Times New Roman" w:eastAsia="方正仿宋简体" w:cs="Times New Roman"/>
                <w:sz w:val="20"/>
                <w:szCs w:val="20"/>
              </w:rPr>
              <w:t>单位</w:t>
            </w:r>
            <w:r>
              <w:rPr>
                <w:rFonts w:hint="eastAsia" w:ascii="Times New Roman" w:hAnsi="Times New Roman" w:eastAsia="方正仿宋简体" w:cs="Times New Roman"/>
                <w:sz w:val="20"/>
                <w:szCs w:val="20"/>
                <w:lang w:val="en-US" w:eastAsia="zh-CN"/>
              </w:rPr>
              <w:t>地区生产总值二氧化碳排放量降低</w:t>
            </w:r>
          </w:p>
        </w:tc>
        <w:tc>
          <w:tcPr>
            <w:tcW w:w="718" w:type="dxa"/>
            <w:tcBorders>
              <w:top w:val="dotted" w:color="auto" w:sz="4" w:space="0"/>
              <w:left w:val="dotted" w:color="auto" w:sz="4" w:space="0"/>
              <w:bottom w:val="dotted" w:color="auto" w:sz="4" w:space="0"/>
              <w:right w:val="dotted" w:color="auto" w:sz="4" w:space="0"/>
            </w:tcBorders>
            <w:vAlign w:val="center"/>
          </w:tcPr>
          <w:p w14:paraId="054DC271">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w:t>
            </w:r>
          </w:p>
        </w:tc>
        <w:tc>
          <w:tcPr>
            <w:tcW w:w="2198" w:type="dxa"/>
            <w:tcBorders>
              <w:top w:val="dotted" w:color="auto" w:sz="4" w:space="0"/>
              <w:left w:val="dotted" w:color="auto" w:sz="4" w:space="0"/>
              <w:bottom w:val="dotted" w:color="auto" w:sz="4" w:space="0"/>
              <w:right w:val="dotted" w:color="auto" w:sz="4" w:space="0"/>
            </w:tcBorders>
            <w:vAlign w:val="center"/>
          </w:tcPr>
          <w:p w14:paraId="132917A9">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达市定目标</w:t>
            </w:r>
          </w:p>
        </w:tc>
        <w:tc>
          <w:tcPr>
            <w:tcW w:w="2576" w:type="dxa"/>
            <w:gridSpan w:val="3"/>
            <w:tcBorders>
              <w:top w:val="dotted" w:color="auto" w:sz="4" w:space="0"/>
              <w:left w:val="dotted" w:color="auto" w:sz="4" w:space="0"/>
              <w:bottom w:val="dotted" w:color="auto" w:sz="4" w:space="0"/>
              <w:right w:val="nil"/>
            </w:tcBorders>
            <w:vAlign w:val="center"/>
          </w:tcPr>
          <w:p w14:paraId="5528E50E">
            <w:pPr>
              <w:spacing w:line="240" w:lineRule="exact"/>
              <w:jc w:val="center"/>
              <w:rPr>
                <w:rFonts w:hint="default" w:ascii="Times New Roman" w:hAnsi="Times New Roman" w:eastAsia="方正仿宋简体" w:cs="Times New Roman"/>
                <w:sz w:val="20"/>
                <w:szCs w:val="20"/>
              </w:rPr>
            </w:pPr>
            <w:r>
              <w:rPr>
                <w:rFonts w:hint="eastAsia" w:ascii="Times New Roman" w:hAnsi="Times New Roman" w:eastAsia="方正仿宋简体" w:cs="Times New Roman"/>
                <w:sz w:val="20"/>
                <w:szCs w:val="20"/>
                <w:lang w:val="en-US" w:eastAsia="zh-CN"/>
              </w:rPr>
              <w:t>年度指标</w:t>
            </w:r>
          </w:p>
        </w:tc>
      </w:tr>
      <w:tr w14:paraId="70937C16">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454" w:hRule="exact"/>
          <w:jc w:val="center"/>
        </w:trPr>
        <w:tc>
          <w:tcPr>
            <w:tcW w:w="611" w:type="dxa"/>
            <w:vMerge w:val="continue"/>
            <w:tcBorders>
              <w:left w:val="nil"/>
              <w:right w:val="dotted" w:color="auto" w:sz="4" w:space="0"/>
            </w:tcBorders>
          </w:tcPr>
          <w:p w14:paraId="14298512">
            <w:pPr>
              <w:spacing w:line="240" w:lineRule="exact"/>
              <w:jc w:val="center"/>
              <w:rPr>
                <w:rFonts w:hint="default" w:ascii="Times New Roman" w:hAnsi="Times New Roman" w:eastAsia="方正仿宋简体" w:cs="Times New Roman"/>
                <w:sz w:val="20"/>
                <w:szCs w:val="20"/>
              </w:rPr>
            </w:pPr>
          </w:p>
        </w:tc>
        <w:tc>
          <w:tcPr>
            <w:tcW w:w="525" w:type="dxa"/>
            <w:tcBorders>
              <w:top w:val="dotted" w:color="auto" w:sz="4" w:space="0"/>
              <w:left w:val="dotted" w:color="auto" w:sz="4" w:space="0"/>
              <w:bottom w:val="dotted" w:color="auto" w:sz="4" w:space="0"/>
              <w:right w:val="dotted" w:color="auto" w:sz="4" w:space="0"/>
            </w:tcBorders>
            <w:vAlign w:val="center"/>
          </w:tcPr>
          <w:p w14:paraId="17E2B764">
            <w:pPr>
              <w:spacing w:line="240" w:lineRule="exact"/>
              <w:jc w:val="center"/>
              <w:rPr>
                <w:rFonts w:hint="eastAsia" w:ascii="Times New Roman" w:hAnsi="Times New Roman" w:eastAsia="方正仿宋简体" w:cs="Times New Roman"/>
                <w:sz w:val="20"/>
                <w:szCs w:val="20"/>
                <w:lang w:eastAsia="zh-CN"/>
              </w:rPr>
            </w:pPr>
            <w:r>
              <w:rPr>
                <w:rFonts w:hint="default" w:ascii="Times New Roman" w:hAnsi="Times New Roman" w:eastAsia="方正仿宋简体" w:cs="Times New Roman"/>
                <w:sz w:val="20"/>
                <w:szCs w:val="20"/>
              </w:rPr>
              <w:t>2</w:t>
            </w:r>
            <w:r>
              <w:rPr>
                <w:rFonts w:hint="eastAsia" w:ascii="Times New Roman" w:hAnsi="Times New Roman" w:eastAsia="方正仿宋简体" w:cs="Times New Roman"/>
                <w:sz w:val="20"/>
                <w:szCs w:val="20"/>
                <w:lang w:val="en-US" w:eastAsia="zh-CN"/>
              </w:rPr>
              <w:t>3</w:t>
            </w:r>
          </w:p>
        </w:tc>
        <w:tc>
          <w:tcPr>
            <w:tcW w:w="3780" w:type="dxa"/>
            <w:tcBorders>
              <w:top w:val="dotted" w:color="auto" w:sz="4" w:space="0"/>
              <w:left w:val="dotted" w:color="auto" w:sz="4" w:space="0"/>
              <w:bottom w:val="dotted" w:color="auto" w:sz="4" w:space="0"/>
              <w:right w:val="dotted" w:color="auto" w:sz="4" w:space="0"/>
            </w:tcBorders>
            <w:vAlign w:val="center"/>
          </w:tcPr>
          <w:p w14:paraId="6FA2457A">
            <w:pPr>
              <w:spacing w:line="240" w:lineRule="exact"/>
              <w:rPr>
                <w:rFonts w:hint="eastAsia" w:ascii="Times New Roman" w:hAnsi="Times New Roman" w:eastAsia="方正仿宋简体" w:cs="Times New Roman"/>
                <w:sz w:val="20"/>
                <w:szCs w:val="20"/>
                <w:lang w:eastAsia="zh-CN"/>
              </w:rPr>
            </w:pPr>
            <w:r>
              <w:rPr>
                <w:rFonts w:hint="default" w:ascii="Times New Roman" w:hAnsi="Times New Roman" w:eastAsia="方正仿宋简体" w:cs="Times New Roman"/>
                <w:sz w:val="20"/>
                <w:szCs w:val="20"/>
              </w:rPr>
              <w:t>空气质量达到二级标准以上天数比</w:t>
            </w:r>
            <w:r>
              <w:rPr>
                <w:rFonts w:hint="eastAsia" w:ascii="Times New Roman" w:hAnsi="Times New Roman" w:eastAsia="方正仿宋简体" w:cs="Times New Roman"/>
                <w:sz w:val="20"/>
                <w:szCs w:val="20"/>
                <w:lang w:val="en-US" w:eastAsia="zh-CN"/>
              </w:rPr>
              <w:t>率</w:t>
            </w:r>
          </w:p>
        </w:tc>
        <w:tc>
          <w:tcPr>
            <w:tcW w:w="718" w:type="dxa"/>
            <w:tcBorders>
              <w:top w:val="dotted" w:color="auto" w:sz="4" w:space="0"/>
              <w:left w:val="dotted" w:color="auto" w:sz="4" w:space="0"/>
              <w:bottom w:val="dotted" w:color="auto" w:sz="4" w:space="0"/>
              <w:right w:val="dotted" w:color="auto" w:sz="4" w:space="0"/>
            </w:tcBorders>
            <w:vAlign w:val="center"/>
          </w:tcPr>
          <w:p w14:paraId="3F504478">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w:t>
            </w:r>
          </w:p>
        </w:tc>
        <w:tc>
          <w:tcPr>
            <w:tcW w:w="2198" w:type="dxa"/>
            <w:tcBorders>
              <w:top w:val="dotted" w:color="auto" w:sz="4" w:space="0"/>
              <w:left w:val="dotted" w:color="auto" w:sz="4" w:space="0"/>
              <w:bottom w:val="dotted" w:color="auto" w:sz="4" w:space="0"/>
              <w:right w:val="dotted" w:color="auto" w:sz="4" w:space="0"/>
            </w:tcBorders>
            <w:vAlign w:val="center"/>
          </w:tcPr>
          <w:p w14:paraId="055F7FD9">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达市定目标</w:t>
            </w:r>
          </w:p>
        </w:tc>
        <w:tc>
          <w:tcPr>
            <w:tcW w:w="885" w:type="dxa"/>
            <w:tcBorders>
              <w:top w:val="dotted" w:color="auto" w:sz="4" w:space="0"/>
              <w:left w:val="dotted" w:color="auto" w:sz="4" w:space="0"/>
              <w:bottom w:val="dotted" w:color="auto" w:sz="4" w:space="0"/>
              <w:right w:val="dotted" w:color="auto" w:sz="4" w:space="0"/>
            </w:tcBorders>
            <w:vAlign w:val="center"/>
          </w:tcPr>
          <w:p w14:paraId="3BB8498D">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78.5</w:t>
            </w:r>
          </w:p>
        </w:tc>
        <w:tc>
          <w:tcPr>
            <w:tcW w:w="859" w:type="dxa"/>
            <w:tcBorders>
              <w:top w:val="dotted" w:color="auto" w:sz="4" w:space="0"/>
              <w:left w:val="dotted" w:color="auto" w:sz="4" w:space="0"/>
              <w:bottom w:val="dotted" w:color="auto" w:sz="4" w:space="0"/>
              <w:right w:val="dotted" w:color="auto" w:sz="4" w:space="0"/>
            </w:tcBorders>
            <w:vAlign w:val="center"/>
          </w:tcPr>
          <w:p w14:paraId="27EA7606">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eastAsia="zh-CN"/>
              </w:rPr>
              <w:t>—</w:t>
            </w:r>
          </w:p>
        </w:tc>
        <w:tc>
          <w:tcPr>
            <w:tcW w:w="832" w:type="dxa"/>
            <w:tcBorders>
              <w:top w:val="dotted" w:color="auto" w:sz="4" w:space="0"/>
              <w:left w:val="dotted" w:color="auto" w:sz="4" w:space="0"/>
              <w:bottom w:val="dotted" w:color="auto" w:sz="4" w:space="0"/>
              <w:right w:val="nil"/>
            </w:tcBorders>
            <w:vAlign w:val="center"/>
          </w:tcPr>
          <w:p w14:paraId="68BE88D0">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是</w:t>
            </w:r>
          </w:p>
        </w:tc>
      </w:tr>
      <w:tr w14:paraId="6924CEFE">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510" w:hRule="exact"/>
          <w:jc w:val="center"/>
        </w:trPr>
        <w:tc>
          <w:tcPr>
            <w:tcW w:w="611" w:type="dxa"/>
            <w:vMerge w:val="restart"/>
            <w:tcBorders>
              <w:left w:val="nil"/>
              <w:right w:val="dotted" w:color="auto" w:sz="4" w:space="0"/>
            </w:tcBorders>
            <w:vAlign w:val="center"/>
          </w:tcPr>
          <w:p w14:paraId="650C40BD">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生态环境</w:t>
            </w:r>
          </w:p>
        </w:tc>
        <w:tc>
          <w:tcPr>
            <w:tcW w:w="525" w:type="dxa"/>
            <w:tcBorders>
              <w:top w:val="dotted" w:color="auto" w:sz="4" w:space="0"/>
              <w:left w:val="dotted" w:color="auto" w:sz="4" w:space="0"/>
              <w:bottom w:val="dotted" w:color="auto" w:sz="4" w:space="0"/>
              <w:right w:val="dotted" w:color="auto" w:sz="4" w:space="0"/>
            </w:tcBorders>
            <w:vAlign w:val="center"/>
          </w:tcPr>
          <w:p w14:paraId="221C9078">
            <w:pPr>
              <w:spacing w:line="240" w:lineRule="exact"/>
              <w:jc w:val="center"/>
              <w:rPr>
                <w:rFonts w:hint="eastAsia" w:ascii="Times New Roman" w:hAnsi="Times New Roman" w:eastAsia="方正仿宋简体" w:cs="Times New Roman"/>
                <w:sz w:val="20"/>
                <w:szCs w:val="20"/>
                <w:lang w:eastAsia="zh-CN"/>
              </w:rPr>
            </w:pPr>
            <w:r>
              <w:rPr>
                <w:rFonts w:hint="default" w:ascii="Times New Roman" w:hAnsi="Times New Roman" w:eastAsia="方正仿宋简体" w:cs="Times New Roman"/>
                <w:sz w:val="20"/>
                <w:szCs w:val="20"/>
              </w:rPr>
              <w:t>2</w:t>
            </w:r>
            <w:r>
              <w:rPr>
                <w:rFonts w:hint="eastAsia" w:ascii="Times New Roman" w:hAnsi="Times New Roman" w:eastAsia="方正仿宋简体" w:cs="Times New Roman"/>
                <w:sz w:val="20"/>
                <w:szCs w:val="20"/>
                <w:lang w:val="en-US" w:eastAsia="zh-CN"/>
              </w:rPr>
              <w:t>4</w:t>
            </w:r>
          </w:p>
        </w:tc>
        <w:tc>
          <w:tcPr>
            <w:tcW w:w="3780" w:type="dxa"/>
            <w:tcBorders>
              <w:top w:val="dotted" w:color="auto" w:sz="4" w:space="0"/>
              <w:left w:val="dotted" w:color="auto" w:sz="4" w:space="0"/>
              <w:bottom w:val="dotted" w:color="auto" w:sz="4" w:space="0"/>
              <w:right w:val="dotted" w:color="auto" w:sz="4" w:space="0"/>
            </w:tcBorders>
            <w:vAlign w:val="center"/>
          </w:tcPr>
          <w:p w14:paraId="3CDEFE19">
            <w:pPr>
              <w:spacing w:line="240" w:lineRule="exact"/>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细颗粒物（PM</w:t>
            </w:r>
            <w:r>
              <w:rPr>
                <w:rFonts w:hint="default" w:ascii="Times New Roman" w:hAnsi="Times New Roman" w:eastAsia="方正仿宋简体" w:cs="Times New Roman"/>
                <w:sz w:val="20"/>
                <w:szCs w:val="20"/>
                <w:vertAlign w:val="subscript"/>
              </w:rPr>
              <w:t>2.5</w:t>
            </w:r>
            <w:r>
              <w:rPr>
                <w:rFonts w:hint="default" w:ascii="Times New Roman" w:hAnsi="Times New Roman" w:eastAsia="方正仿宋简体" w:cs="Times New Roman"/>
                <w:sz w:val="20"/>
                <w:szCs w:val="20"/>
              </w:rPr>
              <w:t>）浓度</w:t>
            </w:r>
          </w:p>
        </w:tc>
        <w:tc>
          <w:tcPr>
            <w:tcW w:w="718" w:type="dxa"/>
            <w:tcBorders>
              <w:top w:val="dotted" w:color="auto" w:sz="4" w:space="0"/>
              <w:left w:val="dotted" w:color="auto" w:sz="4" w:space="0"/>
              <w:bottom w:val="dotted" w:color="auto" w:sz="4" w:space="0"/>
              <w:right w:val="dotted" w:color="auto" w:sz="4" w:space="0"/>
            </w:tcBorders>
            <w:vAlign w:val="center"/>
          </w:tcPr>
          <w:p w14:paraId="396303EF">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微克/</w:t>
            </w:r>
          </w:p>
          <w:p w14:paraId="627A4C92">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立方米</w:t>
            </w:r>
          </w:p>
        </w:tc>
        <w:tc>
          <w:tcPr>
            <w:tcW w:w="2198" w:type="dxa"/>
            <w:tcBorders>
              <w:top w:val="dotted" w:color="auto" w:sz="4" w:space="0"/>
              <w:left w:val="dotted" w:color="auto" w:sz="4" w:space="0"/>
              <w:bottom w:val="dotted" w:color="auto" w:sz="4" w:space="0"/>
              <w:right w:val="dotted" w:color="auto" w:sz="4" w:space="0"/>
            </w:tcBorders>
            <w:vAlign w:val="center"/>
          </w:tcPr>
          <w:p w14:paraId="5215BB6D">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达市定目标</w:t>
            </w:r>
          </w:p>
        </w:tc>
        <w:tc>
          <w:tcPr>
            <w:tcW w:w="885" w:type="dxa"/>
            <w:tcBorders>
              <w:top w:val="dotted" w:color="auto" w:sz="4" w:space="0"/>
              <w:left w:val="dotted" w:color="auto" w:sz="4" w:space="0"/>
              <w:bottom w:val="dotted" w:color="auto" w:sz="4" w:space="0"/>
              <w:right w:val="nil"/>
            </w:tcBorders>
            <w:vAlign w:val="center"/>
          </w:tcPr>
          <w:p w14:paraId="26C43451">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33</w:t>
            </w:r>
          </w:p>
        </w:tc>
        <w:tc>
          <w:tcPr>
            <w:tcW w:w="859" w:type="dxa"/>
            <w:tcBorders>
              <w:top w:val="dotted" w:color="auto" w:sz="4" w:space="0"/>
              <w:left w:val="dotted" w:color="auto" w:sz="4" w:space="0"/>
              <w:bottom w:val="dotted" w:color="auto" w:sz="4" w:space="0"/>
              <w:right w:val="nil"/>
            </w:tcBorders>
            <w:vAlign w:val="center"/>
          </w:tcPr>
          <w:p w14:paraId="5017DA98">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eastAsia="zh-CN"/>
              </w:rPr>
              <w:t>—</w:t>
            </w:r>
          </w:p>
        </w:tc>
        <w:tc>
          <w:tcPr>
            <w:tcW w:w="832" w:type="dxa"/>
            <w:tcBorders>
              <w:top w:val="dotted" w:color="auto" w:sz="4" w:space="0"/>
              <w:left w:val="dotted" w:color="auto" w:sz="4" w:space="0"/>
              <w:bottom w:val="dotted" w:color="auto" w:sz="4" w:space="0"/>
              <w:right w:val="nil"/>
            </w:tcBorders>
            <w:vAlign w:val="center"/>
          </w:tcPr>
          <w:p w14:paraId="3E29EAE3">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是</w:t>
            </w:r>
          </w:p>
        </w:tc>
      </w:tr>
      <w:tr w14:paraId="133EAB98">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454" w:hRule="exact"/>
          <w:jc w:val="center"/>
        </w:trPr>
        <w:tc>
          <w:tcPr>
            <w:tcW w:w="611" w:type="dxa"/>
            <w:vMerge w:val="continue"/>
            <w:tcBorders>
              <w:left w:val="nil"/>
              <w:bottom w:val="dotted" w:color="auto" w:sz="4" w:space="0"/>
              <w:right w:val="dotted" w:color="auto" w:sz="4" w:space="0"/>
            </w:tcBorders>
            <w:vAlign w:val="center"/>
          </w:tcPr>
          <w:p w14:paraId="4425DFE2">
            <w:pPr>
              <w:spacing w:line="240" w:lineRule="exact"/>
              <w:jc w:val="center"/>
              <w:rPr>
                <w:rFonts w:hint="default" w:ascii="Times New Roman" w:hAnsi="Times New Roman" w:eastAsia="方正仿宋简体" w:cs="Times New Roman"/>
                <w:sz w:val="20"/>
                <w:szCs w:val="20"/>
              </w:rPr>
            </w:pPr>
          </w:p>
        </w:tc>
        <w:tc>
          <w:tcPr>
            <w:tcW w:w="525" w:type="dxa"/>
            <w:tcBorders>
              <w:top w:val="dotted" w:color="auto" w:sz="4" w:space="0"/>
              <w:left w:val="dotted" w:color="auto" w:sz="4" w:space="0"/>
              <w:bottom w:val="dotted" w:color="auto" w:sz="4" w:space="0"/>
              <w:right w:val="dotted" w:color="auto" w:sz="4" w:space="0"/>
            </w:tcBorders>
            <w:vAlign w:val="center"/>
          </w:tcPr>
          <w:p w14:paraId="7C0AB35F">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25</w:t>
            </w:r>
          </w:p>
        </w:tc>
        <w:tc>
          <w:tcPr>
            <w:tcW w:w="3780" w:type="dxa"/>
            <w:tcBorders>
              <w:top w:val="dotted" w:color="auto" w:sz="4" w:space="0"/>
              <w:left w:val="dotted" w:color="auto" w:sz="4" w:space="0"/>
              <w:bottom w:val="dotted" w:color="auto" w:sz="4" w:space="0"/>
              <w:right w:val="dotted" w:color="auto" w:sz="4" w:space="0"/>
            </w:tcBorders>
            <w:vAlign w:val="center"/>
          </w:tcPr>
          <w:p w14:paraId="41902E49">
            <w:pPr>
              <w:spacing w:line="240" w:lineRule="exact"/>
              <w:rPr>
                <w:rFonts w:hint="default" w:ascii="Times New Roman" w:hAnsi="Times New Roman" w:eastAsia="方正仿宋简体" w:cs="Times New Roman"/>
                <w:sz w:val="20"/>
                <w:szCs w:val="20"/>
                <w:lang w:val="en-US" w:eastAsia="zh-CN"/>
              </w:rPr>
            </w:pPr>
            <w:r>
              <w:rPr>
                <w:rFonts w:hint="default" w:ascii="Times New Roman" w:hAnsi="Times New Roman" w:eastAsia="方正仿宋简体" w:cs="Times New Roman"/>
                <w:sz w:val="20"/>
                <w:szCs w:val="20"/>
              </w:rPr>
              <w:t>地表水</w:t>
            </w:r>
            <w:r>
              <w:rPr>
                <w:rFonts w:hint="eastAsia" w:ascii="Times New Roman" w:hAnsi="Times New Roman" w:eastAsia="方正仿宋简体" w:cs="Times New Roman"/>
                <w:sz w:val="20"/>
                <w:szCs w:val="20"/>
                <w:lang w:val="en-US" w:eastAsia="zh-CN"/>
              </w:rPr>
              <w:t>国</w:t>
            </w:r>
            <w:r>
              <w:rPr>
                <w:rFonts w:hint="default" w:ascii="Times New Roman" w:hAnsi="Times New Roman" w:eastAsia="方正仿宋简体" w:cs="Times New Roman"/>
                <w:sz w:val="20"/>
                <w:szCs w:val="20"/>
              </w:rPr>
              <w:t>考断面</w:t>
            </w:r>
            <w:r>
              <w:rPr>
                <w:rFonts w:hint="eastAsia" w:ascii="Times New Roman" w:hAnsi="Times New Roman" w:eastAsia="方正仿宋简体" w:cs="Times New Roman"/>
                <w:sz w:val="20"/>
                <w:szCs w:val="20"/>
                <w:lang w:val="en-US" w:eastAsia="zh-CN"/>
              </w:rPr>
              <w:t>优良水体比例</w:t>
            </w:r>
          </w:p>
        </w:tc>
        <w:tc>
          <w:tcPr>
            <w:tcW w:w="718" w:type="dxa"/>
            <w:tcBorders>
              <w:top w:val="dotted" w:color="auto" w:sz="4" w:space="0"/>
              <w:left w:val="dotted" w:color="auto" w:sz="4" w:space="0"/>
              <w:bottom w:val="dotted" w:color="auto" w:sz="4" w:space="0"/>
              <w:right w:val="dotted" w:color="auto" w:sz="4" w:space="0"/>
            </w:tcBorders>
            <w:vAlign w:val="center"/>
          </w:tcPr>
          <w:p w14:paraId="534C7A37">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w:t>
            </w:r>
          </w:p>
        </w:tc>
        <w:tc>
          <w:tcPr>
            <w:tcW w:w="2198" w:type="dxa"/>
            <w:tcBorders>
              <w:top w:val="dotted" w:color="auto" w:sz="4" w:space="0"/>
              <w:left w:val="dotted" w:color="auto" w:sz="4" w:space="0"/>
              <w:bottom w:val="dotted" w:color="auto" w:sz="4" w:space="0"/>
              <w:right w:val="dotted" w:color="auto" w:sz="4" w:space="0"/>
            </w:tcBorders>
            <w:vAlign w:val="center"/>
          </w:tcPr>
          <w:p w14:paraId="37F965B3">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达市定目标</w:t>
            </w:r>
          </w:p>
        </w:tc>
        <w:tc>
          <w:tcPr>
            <w:tcW w:w="885" w:type="dxa"/>
            <w:tcBorders>
              <w:top w:val="dotted" w:color="auto" w:sz="4" w:space="0"/>
              <w:left w:val="dotted" w:color="auto" w:sz="4" w:space="0"/>
              <w:bottom w:val="dotted" w:color="auto" w:sz="4" w:space="0"/>
              <w:right w:val="nil"/>
            </w:tcBorders>
            <w:vAlign w:val="center"/>
          </w:tcPr>
          <w:p w14:paraId="75BF5612">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100</w:t>
            </w:r>
          </w:p>
        </w:tc>
        <w:tc>
          <w:tcPr>
            <w:tcW w:w="859" w:type="dxa"/>
            <w:tcBorders>
              <w:top w:val="dotted" w:color="auto" w:sz="4" w:space="0"/>
              <w:left w:val="dotted" w:color="auto" w:sz="4" w:space="0"/>
              <w:bottom w:val="dotted" w:color="auto" w:sz="4" w:space="0"/>
              <w:right w:val="nil"/>
            </w:tcBorders>
            <w:vAlign w:val="center"/>
          </w:tcPr>
          <w:p w14:paraId="4855ECC5">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w:t>
            </w:r>
          </w:p>
        </w:tc>
        <w:tc>
          <w:tcPr>
            <w:tcW w:w="832" w:type="dxa"/>
            <w:tcBorders>
              <w:top w:val="dotted" w:color="auto" w:sz="4" w:space="0"/>
              <w:left w:val="dotted" w:color="auto" w:sz="4" w:space="0"/>
              <w:bottom w:val="dotted" w:color="auto" w:sz="4" w:space="0"/>
              <w:right w:val="nil"/>
            </w:tcBorders>
            <w:vAlign w:val="center"/>
          </w:tcPr>
          <w:p w14:paraId="236921B4">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是</w:t>
            </w:r>
          </w:p>
        </w:tc>
      </w:tr>
      <w:tr w14:paraId="242CB0D6">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510" w:hRule="exact"/>
          <w:jc w:val="center"/>
        </w:trPr>
        <w:tc>
          <w:tcPr>
            <w:tcW w:w="611" w:type="dxa"/>
            <w:vMerge w:val="restart"/>
            <w:tcBorders>
              <w:top w:val="dotted" w:color="auto" w:sz="4" w:space="0"/>
              <w:left w:val="nil"/>
              <w:bottom w:val="dotted" w:color="auto" w:sz="4" w:space="0"/>
              <w:right w:val="dotted" w:color="auto" w:sz="4" w:space="0"/>
            </w:tcBorders>
            <w:vAlign w:val="center"/>
          </w:tcPr>
          <w:p w14:paraId="66499858">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安全韧性</w:t>
            </w:r>
          </w:p>
        </w:tc>
        <w:tc>
          <w:tcPr>
            <w:tcW w:w="525" w:type="dxa"/>
            <w:tcBorders>
              <w:top w:val="dotted" w:color="auto" w:sz="4" w:space="0"/>
              <w:left w:val="dotted" w:color="auto" w:sz="4" w:space="0"/>
              <w:bottom w:val="dotted" w:color="auto" w:sz="4" w:space="0"/>
              <w:right w:val="dotted" w:color="auto" w:sz="4" w:space="0"/>
            </w:tcBorders>
            <w:vAlign w:val="center"/>
          </w:tcPr>
          <w:p w14:paraId="306655AA">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26</w:t>
            </w:r>
          </w:p>
        </w:tc>
        <w:tc>
          <w:tcPr>
            <w:tcW w:w="3780" w:type="dxa"/>
            <w:tcBorders>
              <w:top w:val="dotted" w:color="auto" w:sz="4" w:space="0"/>
              <w:left w:val="dotted" w:color="auto" w:sz="4" w:space="0"/>
              <w:bottom w:val="dotted" w:color="auto" w:sz="4" w:space="0"/>
              <w:right w:val="dotted" w:color="auto" w:sz="4" w:space="0"/>
            </w:tcBorders>
            <w:vAlign w:val="center"/>
          </w:tcPr>
          <w:p w14:paraId="60F13199">
            <w:pPr>
              <w:spacing w:line="240" w:lineRule="exact"/>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粮食综合生产能力</w:t>
            </w:r>
          </w:p>
        </w:tc>
        <w:tc>
          <w:tcPr>
            <w:tcW w:w="718" w:type="dxa"/>
            <w:tcBorders>
              <w:top w:val="dotted" w:color="auto" w:sz="4" w:space="0"/>
              <w:left w:val="dotted" w:color="auto" w:sz="4" w:space="0"/>
              <w:bottom w:val="dotted" w:color="auto" w:sz="4" w:space="0"/>
              <w:right w:val="dotted" w:color="auto" w:sz="4" w:space="0"/>
            </w:tcBorders>
            <w:vAlign w:val="center"/>
          </w:tcPr>
          <w:p w14:paraId="2008A86E">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w:t>
            </w:r>
          </w:p>
        </w:tc>
        <w:tc>
          <w:tcPr>
            <w:tcW w:w="2198" w:type="dxa"/>
            <w:tcBorders>
              <w:top w:val="dotted" w:color="auto" w:sz="4" w:space="0"/>
              <w:left w:val="dotted" w:color="auto" w:sz="4" w:space="0"/>
              <w:bottom w:val="dotted" w:color="auto" w:sz="4" w:space="0"/>
              <w:right w:val="dotted" w:color="auto" w:sz="4" w:space="0"/>
            </w:tcBorders>
            <w:vAlign w:val="center"/>
          </w:tcPr>
          <w:p w14:paraId="07324261">
            <w:pPr>
              <w:spacing w:line="240" w:lineRule="exact"/>
              <w:jc w:val="center"/>
              <w:rPr>
                <w:rFonts w:hint="default" w:ascii="Times New Roman" w:hAnsi="Times New Roman" w:eastAsia="方正仿宋简体" w:cs="Times New Roman"/>
                <w:snapToGrid w:val="0"/>
                <w:sz w:val="20"/>
                <w:szCs w:val="20"/>
              </w:rPr>
            </w:pPr>
            <w:r>
              <w:rPr>
                <w:rFonts w:hint="default" w:ascii="Times New Roman" w:hAnsi="Times New Roman" w:eastAsia="方正仿宋简体" w:cs="Times New Roman"/>
                <w:sz w:val="20"/>
                <w:szCs w:val="20"/>
              </w:rPr>
              <w:t>达市定目标</w:t>
            </w:r>
          </w:p>
        </w:tc>
        <w:tc>
          <w:tcPr>
            <w:tcW w:w="2576" w:type="dxa"/>
            <w:gridSpan w:val="3"/>
            <w:tcBorders>
              <w:top w:val="dotted" w:color="auto" w:sz="4" w:space="0"/>
              <w:left w:val="dotted" w:color="auto" w:sz="4" w:space="0"/>
              <w:bottom w:val="dotted" w:color="auto" w:sz="4" w:space="0"/>
              <w:right w:val="nil"/>
            </w:tcBorders>
            <w:vAlign w:val="center"/>
          </w:tcPr>
          <w:p w14:paraId="660951C0">
            <w:pPr>
              <w:spacing w:line="240" w:lineRule="exact"/>
              <w:jc w:val="center"/>
              <w:rPr>
                <w:rFonts w:hint="eastAsia" w:ascii="Times New Roman" w:hAnsi="Times New Roman" w:eastAsia="方正仿宋简体" w:cs="Times New Roman"/>
                <w:sz w:val="20"/>
                <w:szCs w:val="20"/>
              </w:rPr>
            </w:pPr>
            <w:r>
              <w:rPr>
                <w:rFonts w:hint="eastAsia" w:ascii="Times New Roman" w:hAnsi="Times New Roman" w:eastAsia="方正仿宋简体" w:cs="Times New Roman"/>
                <w:sz w:val="20"/>
                <w:szCs w:val="20"/>
              </w:rPr>
              <w:t>夏粮种植面积33.</w:t>
            </w:r>
            <w:r>
              <w:rPr>
                <w:rFonts w:hint="eastAsia" w:ascii="Times New Roman" w:hAnsi="Times New Roman" w:eastAsia="方正仿宋简体" w:cs="Times New Roman"/>
                <w:sz w:val="20"/>
                <w:szCs w:val="20"/>
                <w:lang w:val="en-US" w:eastAsia="zh-CN"/>
              </w:rPr>
              <w:t>49</w:t>
            </w:r>
            <w:r>
              <w:rPr>
                <w:rFonts w:hint="eastAsia" w:ascii="Times New Roman" w:hAnsi="Times New Roman" w:eastAsia="方正仿宋简体" w:cs="Times New Roman"/>
                <w:sz w:val="20"/>
                <w:szCs w:val="20"/>
              </w:rPr>
              <w:t>万亩</w:t>
            </w:r>
          </w:p>
          <w:p w14:paraId="10A9F499">
            <w:pPr>
              <w:spacing w:line="240" w:lineRule="exact"/>
              <w:jc w:val="center"/>
              <w:rPr>
                <w:rFonts w:hint="default" w:ascii="Times New Roman" w:hAnsi="Times New Roman" w:eastAsia="方正仿宋简体" w:cs="Times New Roman"/>
                <w:sz w:val="20"/>
                <w:szCs w:val="20"/>
              </w:rPr>
            </w:pPr>
            <w:r>
              <w:rPr>
                <w:rFonts w:hint="eastAsia" w:ascii="Times New Roman" w:hAnsi="Times New Roman" w:eastAsia="方正仿宋简体" w:cs="Times New Roman"/>
                <w:sz w:val="20"/>
                <w:szCs w:val="20"/>
              </w:rPr>
              <w:t>夏粮总产11.</w:t>
            </w:r>
            <w:r>
              <w:rPr>
                <w:rFonts w:hint="eastAsia" w:ascii="Times New Roman" w:hAnsi="Times New Roman" w:eastAsia="方正仿宋简体" w:cs="Times New Roman"/>
                <w:sz w:val="20"/>
                <w:szCs w:val="20"/>
                <w:lang w:val="en-US" w:eastAsia="zh-CN"/>
              </w:rPr>
              <w:t>62</w:t>
            </w:r>
            <w:r>
              <w:rPr>
                <w:rFonts w:hint="eastAsia" w:ascii="Times New Roman" w:hAnsi="Times New Roman" w:eastAsia="方正仿宋简体" w:cs="Times New Roman"/>
                <w:sz w:val="20"/>
                <w:szCs w:val="20"/>
              </w:rPr>
              <w:t>万吨</w:t>
            </w:r>
          </w:p>
        </w:tc>
      </w:tr>
      <w:tr w14:paraId="4705CABF">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454" w:hRule="exact"/>
          <w:jc w:val="center"/>
        </w:trPr>
        <w:tc>
          <w:tcPr>
            <w:tcW w:w="611" w:type="dxa"/>
            <w:vMerge w:val="continue"/>
            <w:tcBorders>
              <w:top w:val="dotted" w:color="auto" w:sz="4" w:space="0"/>
              <w:left w:val="nil"/>
              <w:bottom w:val="dotted" w:color="auto" w:sz="4" w:space="0"/>
              <w:right w:val="dotted" w:color="auto" w:sz="4" w:space="0"/>
            </w:tcBorders>
            <w:vAlign w:val="center"/>
          </w:tcPr>
          <w:p w14:paraId="084D8E65">
            <w:pPr>
              <w:spacing w:line="240" w:lineRule="exact"/>
              <w:jc w:val="center"/>
              <w:rPr>
                <w:rFonts w:hint="default" w:ascii="Times New Roman" w:hAnsi="Times New Roman" w:eastAsia="方正仿宋简体" w:cs="Times New Roman"/>
                <w:sz w:val="20"/>
                <w:szCs w:val="20"/>
              </w:rPr>
            </w:pPr>
          </w:p>
        </w:tc>
        <w:tc>
          <w:tcPr>
            <w:tcW w:w="525" w:type="dxa"/>
            <w:tcBorders>
              <w:top w:val="dotted" w:color="auto" w:sz="4" w:space="0"/>
              <w:left w:val="dotted" w:color="auto" w:sz="4" w:space="0"/>
              <w:bottom w:val="dotted" w:color="auto" w:sz="4" w:space="0"/>
              <w:right w:val="dotted" w:color="auto" w:sz="4" w:space="0"/>
            </w:tcBorders>
            <w:vAlign w:val="center"/>
          </w:tcPr>
          <w:p w14:paraId="225C7529">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27</w:t>
            </w:r>
          </w:p>
        </w:tc>
        <w:tc>
          <w:tcPr>
            <w:tcW w:w="3780" w:type="dxa"/>
            <w:tcBorders>
              <w:top w:val="dotted" w:color="auto" w:sz="4" w:space="0"/>
              <w:left w:val="dotted" w:color="auto" w:sz="4" w:space="0"/>
              <w:bottom w:val="dotted" w:color="auto" w:sz="4" w:space="0"/>
              <w:right w:val="dotted" w:color="auto" w:sz="4" w:space="0"/>
            </w:tcBorders>
            <w:vAlign w:val="center"/>
          </w:tcPr>
          <w:p w14:paraId="50076FC6">
            <w:pPr>
              <w:spacing w:line="240" w:lineRule="exact"/>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耕地保有量</w:t>
            </w:r>
          </w:p>
        </w:tc>
        <w:tc>
          <w:tcPr>
            <w:tcW w:w="718" w:type="dxa"/>
            <w:tcBorders>
              <w:top w:val="dotted" w:color="auto" w:sz="4" w:space="0"/>
              <w:left w:val="dotted" w:color="auto" w:sz="4" w:space="0"/>
              <w:bottom w:val="dotted" w:color="auto" w:sz="4" w:space="0"/>
              <w:right w:val="dotted" w:color="auto" w:sz="4" w:space="0"/>
            </w:tcBorders>
            <w:vAlign w:val="center"/>
          </w:tcPr>
          <w:p w14:paraId="4857DC84">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万公顷</w:t>
            </w:r>
          </w:p>
        </w:tc>
        <w:tc>
          <w:tcPr>
            <w:tcW w:w="2198" w:type="dxa"/>
            <w:tcBorders>
              <w:top w:val="dotted" w:color="auto" w:sz="4" w:space="0"/>
              <w:left w:val="dotted" w:color="auto" w:sz="4" w:space="0"/>
              <w:bottom w:val="dotted" w:color="auto" w:sz="4" w:space="0"/>
              <w:right w:val="dotted" w:color="auto" w:sz="4" w:space="0"/>
            </w:tcBorders>
            <w:vAlign w:val="center"/>
          </w:tcPr>
          <w:p w14:paraId="6DB388C5">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5.2</w:t>
            </w:r>
          </w:p>
        </w:tc>
        <w:tc>
          <w:tcPr>
            <w:tcW w:w="885" w:type="dxa"/>
            <w:tcBorders>
              <w:top w:val="dotted" w:color="auto" w:sz="4" w:space="0"/>
              <w:left w:val="dotted" w:color="auto" w:sz="4" w:space="0"/>
              <w:bottom w:val="dotted" w:color="auto" w:sz="4" w:space="0"/>
              <w:right w:val="dotted" w:color="auto" w:sz="4" w:space="0"/>
            </w:tcBorders>
            <w:vAlign w:val="center"/>
          </w:tcPr>
          <w:p w14:paraId="1B92DF16">
            <w:pPr>
              <w:spacing w:line="30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5.2</w:t>
            </w:r>
          </w:p>
        </w:tc>
        <w:tc>
          <w:tcPr>
            <w:tcW w:w="859" w:type="dxa"/>
            <w:tcBorders>
              <w:top w:val="dotted" w:color="auto" w:sz="4" w:space="0"/>
              <w:left w:val="dotted" w:color="auto" w:sz="4" w:space="0"/>
              <w:bottom w:val="dotted" w:color="auto" w:sz="4" w:space="0"/>
              <w:right w:val="dotted" w:color="auto" w:sz="4" w:space="0"/>
            </w:tcBorders>
            <w:vAlign w:val="center"/>
          </w:tcPr>
          <w:p w14:paraId="6C8509A9">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w:t>
            </w:r>
          </w:p>
        </w:tc>
        <w:tc>
          <w:tcPr>
            <w:tcW w:w="832" w:type="dxa"/>
            <w:tcBorders>
              <w:top w:val="dotted" w:color="auto" w:sz="4" w:space="0"/>
              <w:left w:val="dotted" w:color="auto" w:sz="4" w:space="0"/>
              <w:bottom w:val="dotted" w:color="auto" w:sz="4" w:space="0"/>
              <w:right w:val="nil"/>
            </w:tcBorders>
            <w:vAlign w:val="center"/>
          </w:tcPr>
          <w:p w14:paraId="46D07ADA">
            <w:pPr>
              <w:spacing w:line="240" w:lineRule="exact"/>
              <w:jc w:val="center"/>
              <w:rPr>
                <w:rFonts w:hint="eastAsia" w:ascii="Times New Roman" w:hAnsi="Times New Roman" w:eastAsia="方正仿宋简体" w:cs="Times New Roman"/>
                <w:sz w:val="20"/>
                <w:szCs w:val="20"/>
                <w:lang w:eastAsia="zh-CN"/>
              </w:rPr>
            </w:pPr>
            <w:r>
              <w:rPr>
                <w:rFonts w:hint="eastAsia" w:ascii="Times New Roman" w:hAnsi="Times New Roman" w:eastAsia="方正仿宋简体" w:cs="Times New Roman"/>
                <w:sz w:val="20"/>
                <w:szCs w:val="20"/>
                <w:lang w:eastAsia="zh-CN"/>
              </w:rPr>
              <w:t>是</w:t>
            </w:r>
          </w:p>
        </w:tc>
      </w:tr>
      <w:tr w14:paraId="76EC6B93">
        <w:tblPrEx>
          <w:tblBorders>
            <w:top w:val="double" w:color="auto" w:sz="4" w:space="0"/>
            <w:left w:val="none" w:color="auto" w:sz="0" w:space="0"/>
            <w:bottom w:val="dotted" w:color="auto" w:sz="4" w:space="0"/>
            <w:right w:val="none" w:color="auto" w:sz="0" w:space="0"/>
            <w:insideH w:val="none" w:color="auto" w:sz="0" w:space="0"/>
            <w:insideV w:val="none" w:color="auto" w:sz="0" w:space="0"/>
          </w:tblBorders>
          <w:tblCellMar>
            <w:top w:w="0" w:type="dxa"/>
            <w:left w:w="57" w:type="dxa"/>
            <w:bottom w:w="0" w:type="dxa"/>
            <w:right w:w="57" w:type="dxa"/>
          </w:tblCellMar>
        </w:tblPrEx>
        <w:trPr>
          <w:trHeight w:val="454" w:hRule="exact"/>
          <w:jc w:val="center"/>
        </w:trPr>
        <w:tc>
          <w:tcPr>
            <w:tcW w:w="611" w:type="dxa"/>
            <w:vMerge w:val="continue"/>
            <w:tcBorders>
              <w:top w:val="dotted" w:color="auto" w:sz="4" w:space="0"/>
              <w:left w:val="nil"/>
              <w:bottom w:val="dotted" w:color="auto" w:sz="4" w:space="0"/>
              <w:right w:val="dotted" w:color="auto" w:sz="4" w:space="0"/>
            </w:tcBorders>
          </w:tcPr>
          <w:p w14:paraId="443FDB27">
            <w:pPr>
              <w:spacing w:line="240" w:lineRule="exact"/>
              <w:rPr>
                <w:rFonts w:hint="default" w:ascii="Times New Roman" w:hAnsi="Times New Roman" w:eastAsia="方正仿宋简体" w:cs="Times New Roman"/>
                <w:sz w:val="20"/>
                <w:szCs w:val="20"/>
              </w:rPr>
            </w:pPr>
          </w:p>
        </w:tc>
        <w:tc>
          <w:tcPr>
            <w:tcW w:w="525" w:type="dxa"/>
            <w:tcBorders>
              <w:top w:val="dotted" w:color="auto" w:sz="4" w:space="0"/>
              <w:left w:val="dotted" w:color="auto" w:sz="4" w:space="0"/>
              <w:bottom w:val="dotted" w:color="auto" w:sz="4" w:space="0"/>
              <w:right w:val="dotted" w:color="auto" w:sz="4" w:space="0"/>
            </w:tcBorders>
            <w:vAlign w:val="center"/>
          </w:tcPr>
          <w:p w14:paraId="60C731DF">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28</w:t>
            </w:r>
          </w:p>
        </w:tc>
        <w:tc>
          <w:tcPr>
            <w:tcW w:w="3780" w:type="dxa"/>
            <w:tcBorders>
              <w:top w:val="dotted" w:color="auto" w:sz="4" w:space="0"/>
              <w:left w:val="dotted" w:color="auto" w:sz="4" w:space="0"/>
              <w:bottom w:val="dotted" w:color="auto" w:sz="4" w:space="0"/>
              <w:right w:val="dotted" w:color="auto" w:sz="4" w:space="0"/>
            </w:tcBorders>
            <w:vAlign w:val="center"/>
          </w:tcPr>
          <w:p w14:paraId="54D11585">
            <w:pPr>
              <w:spacing w:line="240" w:lineRule="exact"/>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安全生产发展水平</w:t>
            </w:r>
          </w:p>
        </w:tc>
        <w:tc>
          <w:tcPr>
            <w:tcW w:w="718" w:type="dxa"/>
            <w:tcBorders>
              <w:top w:val="dotted" w:color="auto" w:sz="4" w:space="0"/>
              <w:left w:val="dotted" w:color="auto" w:sz="4" w:space="0"/>
              <w:bottom w:val="dotted" w:color="auto" w:sz="4" w:space="0"/>
              <w:right w:val="dotted" w:color="auto" w:sz="4" w:space="0"/>
            </w:tcBorders>
            <w:vAlign w:val="center"/>
          </w:tcPr>
          <w:p w14:paraId="74338387">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z w:val="20"/>
                <w:szCs w:val="20"/>
              </w:rPr>
              <w:t>—</w:t>
            </w:r>
          </w:p>
        </w:tc>
        <w:tc>
          <w:tcPr>
            <w:tcW w:w="2198" w:type="dxa"/>
            <w:tcBorders>
              <w:top w:val="dotted" w:color="auto" w:sz="4" w:space="0"/>
              <w:left w:val="dotted" w:color="auto" w:sz="4" w:space="0"/>
              <w:bottom w:val="dotted" w:color="auto" w:sz="4" w:space="0"/>
              <w:right w:val="dotted" w:color="auto" w:sz="4" w:space="0"/>
            </w:tcBorders>
            <w:vAlign w:val="center"/>
          </w:tcPr>
          <w:p w14:paraId="7749C7AD">
            <w:pPr>
              <w:spacing w:line="240" w:lineRule="exact"/>
              <w:jc w:val="center"/>
              <w:rPr>
                <w:rFonts w:hint="default" w:ascii="Times New Roman" w:hAnsi="Times New Roman" w:eastAsia="方正仿宋简体" w:cs="Times New Roman"/>
                <w:sz w:val="20"/>
                <w:szCs w:val="20"/>
              </w:rPr>
            </w:pPr>
            <w:r>
              <w:rPr>
                <w:rFonts w:hint="default" w:ascii="Times New Roman" w:hAnsi="Times New Roman" w:eastAsia="方正仿宋简体" w:cs="Times New Roman"/>
                <w:snapToGrid w:val="0"/>
                <w:sz w:val="20"/>
                <w:szCs w:val="20"/>
              </w:rPr>
              <w:t>达市考核目标</w:t>
            </w:r>
          </w:p>
        </w:tc>
        <w:tc>
          <w:tcPr>
            <w:tcW w:w="2576" w:type="dxa"/>
            <w:gridSpan w:val="3"/>
            <w:tcBorders>
              <w:top w:val="dotted" w:color="auto" w:sz="4" w:space="0"/>
              <w:left w:val="dotted" w:color="auto" w:sz="4" w:space="0"/>
              <w:bottom w:val="dotted" w:color="auto" w:sz="4" w:space="0"/>
              <w:right w:val="nil"/>
            </w:tcBorders>
            <w:vAlign w:val="center"/>
          </w:tcPr>
          <w:p w14:paraId="0CAE7C66">
            <w:pPr>
              <w:spacing w:line="240" w:lineRule="exact"/>
              <w:jc w:val="center"/>
              <w:rPr>
                <w:rFonts w:hint="default" w:ascii="Times New Roman" w:hAnsi="Times New Roman" w:eastAsia="方正仿宋简体" w:cs="Times New Roman"/>
                <w:sz w:val="20"/>
                <w:szCs w:val="20"/>
                <w:lang w:val="en-US" w:eastAsia="zh-CN"/>
              </w:rPr>
            </w:pPr>
            <w:r>
              <w:rPr>
                <w:rFonts w:hint="eastAsia" w:ascii="Times New Roman" w:hAnsi="Times New Roman" w:eastAsia="方正仿宋简体" w:cs="Times New Roman"/>
                <w:sz w:val="20"/>
                <w:szCs w:val="20"/>
                <w:lang w:val="en-US" w:eastAsia="zh-CN"/>
              </w:rPr>
              <w:t>年度指标</w:t>
            </w:r>
          </w:p>
        </w:tc>
      </w:tr>
    </w:tbl>
    <w:p w14:paraId="52F546D7">
      <w:pPr>
        <w:keepNext w:val="0"/>
        <w:keepLines w:val="0"/>
        <w:pageBreakBefore w:val="0"/>
        <w:widowControl w:val="0"/>
        <w:kinsoku/>
        <w:wordWrap/>
        <w:topLinePunct w:val="0"/>
        <w:autoSpaceDE/>
        <w:autoSpaceDN/>
        <w:bidi w:val="0"/>
        <w:spacing w:line="560" w:lineRule="exact"/>
        <w:ind w:firstLine="640" w:firstLineChars="200"/>
        <w:textAlignment w:val="auto"/>
        <w:rPr>
          <w:rFonts w:hint="default" w:ascii="Times New Roman" w:hAnsi="Times New Roman" w:eastAsia="方正楷体简体" w:cs="Times New Roman"/>
          <w:sz w:val="32"/>
          <w:szCs w:val="32"/>
        </w:rPr>
      </w:pPr>
      <w:r>
        <w:rPr>
          <w:rFonts w:hint="default" w:ascii="Times New Roman" w:hAnsi="Times New Roman" w:eastAsia="方正楷体简体" w:cs="Times New Roman"/>
          <w:sz w:val="32"/>
          <w:szCs w:val="32"/>
        </w:rPr>
        <w:t>（二）重点项目进展情况</w:t>
      </w:r>
    </w:p>
    <w:p w14:paraId="24CC599F">
      <w:pPr>
        <w:keepNext w:val="0"/>
        <w:keepLines w:val="0"/>
        <w:pageBreakBefore w:val="0"/>
        <w:widowControl w:val="0"/>
        <w:kinsoku/>
        <w:wordWrap/>
        <w:topLinePunct w:val="0"/>
        <w:autoSpaceDE/>
        <w:autoSpaceDN/>
        <w:bidi w:val="0"/>
        <w:spacing w:line="560" w:lineRule="exact"/>
        <w:ind w:firstLine="640" w:firstLineChars="200"/>
        <w:textAlignment w:val="auto"/>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2026年全区重大项目165个（</w:t>
      </w:r>
      <w:r>
        <w:rPr>
          <w:rFonts w:hint="default" w:ascii="Times New Roman" w:hAnsi="Times New Roman" w:eastAsia="方正楷体简体" w:cs="Times New Roman"/>
          <w:sz w:val="32"/>
          <w:szCs w:val="32"/>
        </w:rPr>
        <w:t>实施项目155个</w:t>
      </w:r>
      <w:r>
        <w:rPr>
          <w:rFonts w:hint="eastAsia" w:ascii="Times New Roman" w:hAnsi="Times New Roman" w:eastAsia="方正仿宋简体" w:cs="Times New Roman"/>
          <w:sz w:val="32"/>
          <w:szCs w:val="32"/>
        </w:rPr>
        <w:t>），总投资1232.6亿元（</w:t>
      </w:r>
      <w:r>
        <w:rPr>
          <w:rFonts w:hint="eastAsia" w:ascii="Times New Roman" w:hAnsi="Times New Roman" w:eastAsia="方正楷体简体" w:cs="Times New Roman"/>
          <w:sz w:val="32"/>
          <w:szCs w:val="32"/>
        </w:rPr>
        <w:t>实施项目1126.7亿元</w:t>
      </w:r>
      <w:r>
        <w:rPr>
          <w:rFonts w:hint="eastAsia" w:ascii="Times New Roman" w:hAnsi="Times New Roman" w:eastAsia="方正仿宋简体" w:cs="Times New Roman"/>
          <w:sz w:val="32"/>
          <w:szCs w:val="32"/>
        </w:rPr>
        <w:t>），当年计划投资179亿元，完成统计投资132.5亿元、占年度计划的74%，超序时进度24个百分点；其中，产业类项目102个，完成当年计划投资71.1%、超序时进度21.1个百分点。21个市重大实施项目（</w:t>
      </w:r>
      <w:r>
        <w:rPr>
          <w:rFonts w:hint="eastAsia" w:ascii="Times New Roman" w:hAnsi="Times New Roman" w:eastAsia="方正楷体简体" w:cs="Times New Roman"/>
          <w:sz w:val="32"/>
          <w:szCs w:val="32"/>
        </w:rPr>
        <w:t>含3个省重大实施</w:t>
      </w:r>
      <w:r>
        <w:rPr>
          <w:rFonts w:hint="eastAsia" w:ascii="Times New Roman" w:hAnsi="Times New Roman" w:eastAsia="方正仿宋简体" w:cs="Times New Roman"/>
          <w:sz w:val="32"/>
          <w:szCs w:val="32"/>
        </w:rPr>
        <w:t>）开工率100%，完成投资68.8亿元、占年度计划的113.5%，超序时进度63.5个百分点。</w:t>
      </w:r>
    </w:p>
    <w:p w14:paraId="70038AEB">
      <w:pPr>
        <w:keepNext w:val="0"/>
        <w:keepLines w:val="0"/>
        <w:pageBreakBefore w:val="0"/>
        <w:widowControl w:val="0"/>
        <w:kinsoku/>
        <w:wordWrap/>
        <w:topLinePunct w:val="0"/>
        <w:autoSpaceDE/>
        <w:autoSpaceDN/>
        <w:bidi w:val="0"/>
        <w:spacing w:line="560" w:lineRule="exact"/>
        <w:ind w:firstLine="640" w:firstLineChars="200"/>
        <w:textAlignment w:val="auto"/>
        <w:rPr>
          <w:rFonts w:hint="default" w:ascii="Times New Roman" w:hAnsi="Times New Roman" w:eastAsia="方正楷体简体" w:cs="Times New Roman"/>
          <w:sz w:val="32"/>
          <w:szCs w:val="32"/>
        </w:rPr>
      </w:pPr>
      <w:r>
        <w:rPr>
          <w:rFonts w:hint="default" w:ascii="Times New Roman" w:hAnsi="Times New Roman" w:eastAsia="方正楷体简体" w:cs="Times New Roman"/>
          <w:sz w:val="32"/>
          <w:szCs w:val="32"/>
        </w:rPr>
        <w:t>（三）主要工作成效</w:t>
      </w:r>
    </w:p>
    <w:p w14:paraId="0DE7B230">
      <w:pPr>
        <w:keepNext w:val="0"/>
        <w:keepLines w:val="0"/>
        <w:pageBreakBefore w:val="0"/>
        <w:widowControl w:val="0"/>
        <w:kinsoku/>
        <w:wordWrap/>
        <w:topLinePunct w:val="0"/>
        <w:autoSpaceDE/>
        <w:autoSpaceDN/>
        <w:bidi w:val="0"/>
        <w:spacing w:line="560" w:lineRule="exact"/>
        <w:ind w:firstLine="640" w:firstLineChars="200"/>
        <w:textAlignment w:val="auto"/>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上半年</w:t>
      </w:r>
      <w:r>
        <w:rPr>
          <w:rFonts w:ascii="Times New Roman" w:hAnsi="Times New Roman" w:eastAsia="方正仿宋简体" w:cs="Times New Roman"/>
          <w:sz w:val="32"/>
          <w:szCs w:val="32"/>
        </w:rPr>
        <w:t>，全区上下</w:t>
      </w:r>
      <w:r>
        <w:rPr>
          <w:rFonts w:hint="eastAsia" w:ascii="Times New Roman" w:hAnsi="Times New Roman" w:eastAsia="方正仿宋简体" w:cs="Times New Roman"/>
          <w:sz w:val="32"/>
          <w:szCs w:val="32"/>
          <w:lang w:val="en-US" w:eastAsia="zh-CN"/>
        </w:rPr>
        <w:t>聚焦重点领域、紧盯关键环节，加压奋进</w:t>
      </w:r>
      <w:r>
        <w:rPr>
          <w:rFonts w:hint="eastAsia" w:ascii="Times New Roman" w:hAnsi="Times New Roman" w:eastAsia="方正仿宋简体" w:cs="Times New Roman"/>
          <w:sz w:val="32"/>
          <w:szCs w:val="32"/>
        </w:rPr>
        <w:t>、狠抓落实，在</w:t>
      </w:r>
      <w:r>
        <w:rPr>
          <w:rFonts w:ascii="Times New Roman" w:hAnsi="Times New Roman" w:eastAsia="方正仿宋简体" w:cs="Times New Roman"/>
          <w:sz w:val="32"/>
          <w:szCs w:val="32"/>
        </w:rPr>
        <w:t>推进产业强区、深化改革开放、建设宜居城市、</w:t>
      </w:r>
      <w:r>
        <w:rPr>
          <w:rFonts w:hint="eastAsia" w:ascii="Times New Roman" w:hAnsi="Times New Roman" w:eastAsia="方正仿宋简体" w:cs="Times New Roman"/>
          <w:sz w:val="32"/>
          <w:szCs w:val="32"/>
          <w:lang w:val="en-US" w:eastAsia="zh-CN"/>
        </w:rPr>
        <w:t>加快绿色发展</w:t>
      </w:r>
      <w:r>
        <w:rPr>
          <w:rFonts w:ascii="Times New Roman" w:hAnsi="Times New Roman" w:eastAsia="方正仿宋简体" w:cs="Times New Roman"/>
          <w:sz w:val="32"/>
          <w:szCs w:val="32"/>
        </w:rPr>
        <w:t>、增进民生福祉等五</w:t>
      </w:r>
      <w:r>
        <w:rPr>
          <w:rFonts w:hint="eastAsia" w:ascii="Times New Roman" w:hAnsi="Times New Roman" w:eastAsia="方正仿宋简体" w:cs="Times New Roman"/>
          <w:sz w:val="32"/>
          <w:szCs w:val="32"/>
          <w:lang w:val="en-US" w:eastAsia="zh-CN"/>
        </w:rPr>
        <w:t>大领域</w:t>
      </w:r>
      <w:r>
        <w:rPr>
          <w:rFonts w:ascii="Times New Roman" w:hAnsi="Times New Roman" w:eastAsia="方正仿宋简体" w:cs="Times New Roman"/>
          <w:sz w:val="32"/>
          <w:szCs w:val="32"/>
        </w:rPr>
        <w:t>取得明显成效。</w:t>
      </w:r>
    </w:p>
    <w:p w14:paraId="527ECBCE">
      <w:pPr>
        <w:keepNext w:val="0"/>
        <w:keepLines w:val="0"/>
        <w:pageBreakBefore w:val="0"/>
        <w:widowControl w:val="0"/>
        <w:kinsoku/>
        <w:wordWrap/>
        <w:topLinePunct w:val="0"/>
        <w:autoSpaceDE/>
        <w:autoSpaceDN/>
        <w:bidi w:val="0"/>
        <w:spacing w:line="560" w:lineRule="exact"/>
        <w:ind w:firstLine="640" w:firstLineChars="200"/>
        <w:textAlignment w:val="auto"/>
        <w:rPr>
          <w:rFonts w:hint="eastAsia" w:ascii="Times New Roman" w:hAnsi="Times New Roman" w:eastAsia="方正楷体简体" w:cs="Times New Roman"/>
          <w:sz w:val="32"/>
          <w:szCs w:val="32"/>
          <w:lang w:val="en-US" w:eastAsia="zh-CN"/>
        </w:rPr>
      </w:pPr>
      <w:r>
        <w:rPr>
          <w:rFonts w:hint="eastAsia" w:ascii="Times New Roman" w:hAnsi="Times New Roman" w:eastAsia="方正楷体简体" w:cs="Times New Roman"/>
          <w:sz w:val="32"/>
          <w:szCs w:val="32"/>
          <w:highlight w:val="none"/>
          <w:lang w:val="en-US" w:eastAsia="zh-CN"/>
        </w:rPr>
        <w:t>1. 产业强区纵深推进，创新质效稳步提升。</w:t>
      </w:r>
      <w:r>
        <w:rPr>
          <w:rFonts w:hint="default" w:ascii="Times New Roman" w:hAnsi="Times New Roman" w:eastAsia="方正仿宋简体" w:cs="Times New Roman"/>
          <w:b/>
          <w:bCs/>
          <w:sz w:val="32"/>
          <w:szCs w:val="32"/>
          <w:highlight w:val="none"/>
          <w:lang w:val="en-US" w:eastAsia="zh-CN"/>
        </w:rPr>
        <w:t>创新生态持续优化。</w:t>
      </w:r>
      <w:r>
        <w:rPr>
          <w:rFonts w:hint="default" w:ascii="Times New Roman" w:hAnsi="Times New Roman" w:eastAsia="方正仿宋简体" w:cs="Times New Roman"/>
          <w:b w:val="0"/>
          <w:bCs w:val="0"/>
          <w:color w:val="auto"/>
          <w:sz w:val="32"/>
          <w:szCs w:val="32"/>
          <w:highlight w:val="none"/>
          <w:u w:val="none"/>
          <w:lang w:val="en-US" w:eastAsia="zh-CN"/>
        </w:rPr>
        <w:t>坚持校地企联动发展核心路径，推动创新港建设与校地合作双向发力，</w:t>
      </w:r>
      <w:r>
        <w:rPr>
          <w:rFonts w:hint="default" w:ascii="Times New Roman" w:hAnsi="Times New Roman" w:eastAsia="方正仿宋简体" w:cs="Times New Roman"/>
          <w:sz w:val="32"/>
          <w:szCs w:val="32"/>
          <w:highlight w:val="none"/>
          <w:lang w:val="en-US" w:eastAsia="zh-CN"/>
        </w:rPr>
        <w:t>高质量举办第四届航空航天产创融合推介活动，南航国际创新港一期</w:t>
      </w:r>
      <w:r>
        <w:rPr>
          <w:rFonts w:hint="eastAsia" w:ascii="Times New Roman" w:hAnsi="Times New Roman" w:eastAsia="方正仿宋简体" w:cs="Times New Roman"/>
          <w:kern w:val="0"/>
          <w:sz w:val="32"/>
          <w:szCs w:val="32"/>
          <w:highlight w:val="none"/>
          <w:lang w:val="en-US" w:eastAsia="zh-CN"/>
        </w:rPr>
        <w:t>正式办理</w:t>
      </w:r>
      <w:r>
        <w:rPr>
          <w:rFonts w:hint="default" w:ascii="Times New Roman" w:hAnsi="Times New Roman" w:eastAsia="方正仿宋简体" w:cs="Times New Roman"/>
          <w:kern w:val="0"/>
          <w:sz w:val="32"/>
          <w:szCs w:val="32"/>
          <w:highlight w:val="none"/>
          <w:lang w:val="en-US" w:eastAsia="zh-CN"/>
        </w:rPr>
        <w:t>交付</w:t>
      </w:r>
      <w:r>
        <w:rPr>
          <w:rFonts w:hint="eastAsia" w:ascii="Times New Roman" w:hAnsi="Times New Roman" w:eastAsia="方正仿宋简体" w:cs="Times New Roman"/>
          <w:kern w:val="0"/>
          <w:sz w:val="32"/>
          <w:szCs w:val="32"/>
          <w:highlight w:val="none"/>
          <w:lang w:val="en-US" w:eastAsia="zh-CN"/>
        </w:rPr>
        <w:t>入驻手续</w:t>
      </w:r>
      <w:r>
        <w:rPr>
          <w:rFonts w:hint="default" w:ascii="Times New Roman" w:hAnsi="Times New Roman" w:eastAsia="方正仿宋简体" w:cs="Times New Roman"/>
          <w:kern w:val="0"/>
          <w:sz w:val="32"/>
          <w:szCs w:val="32"/>
          <w:highlight w:val="none"/>
          <w:lang w:val="en-US" w:eastAsia="zh-CN"/>
        </w:rPr>
        <w:t>，</w:t>
      </w:r>
      <w:r>
        <w:rPr>
          <w:rFonts w:hint="default" w:ascii="Times New Roman" w:hAnsi="Times New Roman" w:eastAsia="方正仿宋简体" w:cs="Times New Roman"/>
          <w:color w:val="000000" w:themeColor="text1"/>
          <w:kern w:val="2"/>
          <w:sz w:val="32"/>
          <w:szCs w:val="32"/>
          <w:highlight w:val="none"/>
          <w:lang w:val="en-US" w:eastAsia="zh-CN" w:bidi="ar-SA"/>
          <w14:textFill>
            <w14:solidFill>
              <w14:schemeClr w14:val="tx1"/>
            </w14:solidFill>
          </w14:textFill>
        </w:rPr>
        <w:t>航空航天结构力学及控制全国重点实验室等项目</w:t>
      </w:r>
      <w:r>
        <w:rPr>
          <w:rFonts w:hint="eastAsia" w:ascii="Times New Roman" w:hAnsi="Times New Roman" w:eastAsia="方正仿宋简体" w:cs="Times New Roman"/>
          <w:color w:val="000000" w:themeColor="text1"/>
          <w:kern w:val="2"/>
          <w:sz w:val="32"/>
          <w:szCs w:val="32"/>
          <w:highlight w:val="none"/>
          <w:lang w:val="en-US" w:eastAsia="zh-CN" w:bidi="ar-SA"/>
          <w14:textFill>
            <w14:solidFill>
              <w14:schemeClr w14:val="tx1"/>
            </w14:solidFill>
          </w14:textFill>
        </w:rPr>
        <w:t>相继</w:t>
      </w:r>
      <w:r>
        <w:rPr>
          <w:rFonts w:hint="default" w:ascii="Times New Roman" w:hAnsi="Times New Roman" w:eastAsia="方正仿宋简体" w:cs="Times New Roman"/>
          <w:color w:val="000000" w:themeColor="text1"/>
          <w:kern w:val="2"/>
          <w:sz w:val="32"/>
          <w:szCs w:val="32"/>
          <w:highlight w:val="none"/>
          <w:lang w:val="en-US" w:eastAsia="zh-CN" w:bidi="ar-SA"/>
          <w14:textFill>
            <w14:solidFill>
              <w14:schemeClr w14:val="tx1"/>
            </w14:solidFill>
          </w14:textFill>
        </w:rPr>
        <w:t>进驻；星河动力大推力液体火箭总装基地及其南方研发中心正式启动；</w:t>
      </w:r>
      <w:r>
        <w:rPr>
          <w:rFonts w:hint="default" w:ascii="Times New Roman" w:hAnsi="Times New Roman" w:eastAsia="方正仿宋简体" w:cs="Times New Roman"/>
          <w:b w:val="0"/>
          <w:bCs w:val="0"/>
          <w:color w:val="auto"/>
          <w:sz w:val="32"/>
          <w:szCs w:val="32"/>
          <w:highlight w:val="none"/>
          <w:u w:val="none"/>
          <w:lang w:val="en-US" w:eastAsia="zh-CN"/>
        </w:rPr>
        <w:t>郑州大学江苏研究院</w:t>
      </w:r>
      <w:r>
        <w:rPr>
          <w:rFonts w:hint="eastAsia" w:ascii="Times New Roman" w:hAnsi="Times New Roman" w:eastAsia="方正仿宋简体" w:cs="Times New Roman"/>
          <w:b w:val="0"/>
          <w:bCs w:val="0"/>
          <w:color w:val="auto"/>
          <w:sz w:val="32"/>
          <w:szCs w:val="32"/>
          <w:highlight w:val="none"/>
          <w:u w:val="none"/>
          <w:lang w:val="en-US" w:eastAsia="zh-CN"/>
        </w:rPr>
        <w:t>推行</w:t>
      </w:r>
      <w:r>
        <w:rPr>
          <w:rFonts w:hint="default" w:ascii="Times New Roman" w:hAnsi="Times New Roman" w:eastAsia="方正仿宋简体" w:cs="Times New Roman"/>
          <w:b w:val="0"/>
          <w:bCs w:val="0"/>
          <w:color w:val="auto"/>
          <w:sz w:val="32"/>
          <w:szCs w:val="32"/>
          <w:highlight w:val="none"/>
          <w:u w:val="none"/>
          <w:lang w:val="en-US" w:eastAsia="zh-CN"/>
        </w:rPr>
        <w:t>“校友项目+研究分院”模式，签约落户</w:t>
      </w:r>
      <w:r>
        <w:rPr>
          <w:rFonts w:hint="eastAsia" w:ascii="Times New Roman" w:hAnsi="Times New Roman" w:eastAsia="方正仿宋简体" w:cs="Times New Roman"/>
          <w:b w:val="0"/>
          <w:bCs w:val="0"/>
          <w:color w:val="auto"/>
          <w:sz w:val="32"/>
          <w:szCs w:val="32"/>
          <w:highlight w:val="none"/>
          <w:u w:val="none"/>
          <w:lang w:val="en-US" w:eastAsia="zh-CN"/>
        </w:rPr>
        <w:t>中城数智</w:t>
      </w:r>
      <w:r>
        <w:rPr>
          <w:rFonts w:hint="default" w:ascii="Times New Roman" w:hAnsi="Times New Roman" w:eastAsia="方正仿宋简体" w:cs="Times New Roman"/>
          <w:b w:val="0"/>
          <w:bCs w:val="0"/>
          <w:color w:val="auto"/>
          <w:sz w:val="32"/>
          <w:szCs w:val="32"/>
          <w:highlight w:val="none"/>
          <w:u w:val="none"/>
          <w:lang w:val="en-US" w:eastAsia="zh-CN"/>
        </w:rPr>
        <w:t>等校友项目5个；中国矿大校友经济产业科创园</w:t>
      </w:r>
      <w:r>
        <w:rPr>
          <w:rFonts w:hint="eastAsia" w:ascii="Times New Roman" w:hAnsi="Times New Roman" w:eastAsia="方正仿宋简体" w:cs="Times New Roman"/>
          <w:b w:val="0"/>
          <w:bCs w:val="0"/>
          <w:color w:val="auto"/>
          <w:sz w:val="32"/>
          <w:szCs w:val="32"/>
          <w:highlight w:val="none"/>
          <w:u w:val="none"/>
          <w:lang w:val="en-US" w:eastAsia="zh-CN"/>
        </w:rPr>
        <w:t>正式</w:t>
      </w:r>
      <w:r>
        <w:rPr>
          <w:rFonts w:hint="default" w:ascii="Times New Roman" w:hAnsi="Times New Roman" w:eastAsia="方正仿宋简体" w:cs="Times New Roman"/>
          <w:b w:val="0"/>
          <w:bCs w:val="0"/>
          <w:color w:val="auto"/>
          <w:sz w:val="32"/>
          <w:szCs w:val="32"/>
          <w:highlight w:val="none"/>
          <w:u w:val="none"/>
          <w:lang w:val="en-US" w:eastAsia="zh-CN"/>
        </w:rPr>
        <w:t>启用，奥特净化等企业陆续入驻；</w:t>
      </w:r>
      <w:r>
        <w:rPr>
          <w:rFonts w:hint="default" w:ascii="Times New Roman" w:hAnsi="Times New Roman" w:eastAsia="方正仿宋简体" w:cs="Times New Roman"/>
          <w:color w:val="auto"/>
          <w:kern w:val="2"/>
          <w:sz w:val="32"/>
          <w:szCs w:val="32"/>
          <w:highlight w:val="none"/>
          <w:u w:val="none"/>
          <w:lang w:val="en-US" w:eastAsia="zh-CN" w:bidi="ar-SA"/>
        </w:rPr>
        <w:t>稳步推进省先进复合材料技术与装备创新中心争创国家级制造业创新中心；</w:t>
      </w:r>
      <w:r>
        <w:rPr>
          <w:rFonts w:hint="default" w:ascii="Times New Roman" w:hAnsi="Times New Roman" w:eastAsia="方正仿宋简体" w:cs="Times New Roman"/>
          <w:sz w:val="32"/>
          <w:szCs w:val="32"/>
          <w:highlight w:val="none"/>
          <w:lang w:val="en-US" w:eastAsia="zh-CN"/>
        </w:rPr>
        <w:t>企业研发投入</w:t>
      </w:r>
      <w:r>
        <w:rPr>
          <w:rFonts w:hint="default" w:ascii="Times New Roman" w:hAnsi="Times New Roman" w:eastAsia="方正仿宋简体" w:cs="Times New Roman"/>
          <w:sz w:val="32"/>
          <w:szCs w:val="40"/>
          <w:highlight w:val="none"/>
          <w:lang w:val="en-US" w:eastAsia="zh-CN"/>
        </w:rPr>
        <w:t>同比</w:t>
      </w:r>
      <w:r>
        <w:rPr>
          <w:rFonts w:hint="default" w:ascii="Times New Roman" w:hAnsi="Times New Roman" w:eastAsia="方正仿宋简体" w:cs="Times New Roman"/>
          <w:sz w:val="32"/>
          <w:szCs w:val="32"/>
          <w:highlight w:val="none"/>
          <w:lang w:val="en-US" w:eastAsia="zh-CN"/>
        </w:rPr>
        <w:t>增长12.4%，较上年度提高1.5个百分点；</w:t>
      </w:r>
      <w:r>
        <w:rPr>
          <w:rFonts w:hint="default" w:ascii="Times New Roman" w:hAnsi="Times New Roman" w:eastAsia="方正仿宋简体" w:cs="Times New Roman"/>
          <w:color w:val="auto"/>
          <w:sz w:val="32"/>
          <w:szCs w:val="32"/>
          <w:highlight w:val="none"/>
          <w:u w:val="none"/>
          <w:lang w:val="en-US" w:eastAsia="zh-CN"/>
        </w:rPr>
        <w:t>深入</w:t>
      </w:r>
      <w:r>
        <w:rPr>
          <w:rFonts w:hint="eastAsia" w:ascii="Times New Roman" w:hAnsi="Times New Roman" w:eastAsia="方正仿宋简体" w:cs="Times New Roman"/>
          <w:color w:val="auto"/>
          <w:sz w:val="32"/>
          <w:szCs w:val="32"/>
          <w:highlight w:val="none"/>
          <w:u w:val="none"/>
          <w:lang w:val="en-US" w:eastAsia="zh-CN"/>
        </w:rPr>
        <w:t>落实</w:t>
      </w:r>
      <w:r>
        <w:rPr>
          <w:rFonts w:hint="default" w:ascii="Times New Roman" w:hAnsi="Times New Roman" w:eastAsia="方正仿宋简体" w:cs="Times New Roman"/>
          <w:color w:val="auto"/>
          <w:sz w:val="32"/>
          <w:szCs w:val="32"/>
          <w:highlight w:val="none"/>
          <w:u w:val="none"/>
          <w:lang w:val="en-US" w:eastAsia="zh-CN"/>
        </w:rPr>
        <w:t>“新人才八条”，精准引育高端创新人才，</w:t>
      </w:r>
      <w:r>
        <w:rPr>
          <w:rFonts w:hint="eastAsia" w:ascii="Times New Roman" w:hAnsi="Times New Roman" w:eastAsia="方正仿宋简体" w:cs="Times New Roman"/>
          <w:color w:val="auto"/>
          <w:sz w:val="32"/>
          <w:szCs w:val="32"/>
          <w:highlight w:val="none"/>
          <w:u w:val="none"/>
          <w:lang w:val="en-US" w:eastAsia="zh-CN"/>
        </w:rPr>
        <w:t>国家重点人才工程A类有效申报55人</w:t>
      </w:r>
      <w:r>
        <w:rPr>
          <w:rFonts w:hint="default" w:ascii="Times New Roman" w:hAnsi="Times New Roman" w:eastAsia="方正仿宋简体" w:cs="Times New Roman"/>
          <w:color w:val="auto"/>
          <w:sz w:val="32"/>
          <w:szCs w:val="32"/>
          <w:highlight w:val="none"/>
          <w:u w:val="none"/>
          <w:lang w:val="en-US" w:eastAsia="zh-CN"/>
        </w:rPr>
        <w:t>，省SC项目储备</w:t>
      </w:r>
      <w:r>
        <w:rPr>
          <w:rFonts w:hint="eastAsia" w:ascii="Times New Roman" w:hAnsi="Times New Roman" w:eastAsia="方正仿宋简体" w:cs="Times New Roman"/>
          <w:color w:val="auto"/>
          <w:sz w:val="32"/>
          <w:szCs w:val="32"/>
          <w:highlight w:val="none"/>
          <w:u w:val="none"/>
          <w:lang w:val="en-US" w:eastAsia="zh-CN"/>
        </w:rPr>
        <w:t>12</w:t>
      </w:r>
      <w:r>
        <w:rPr>
          <w:rFonts w:hint="default" w:ascii="Times New Roman" w:hAnsi="Times New Roman" w:eastAsia="方正仿宋简体" w:cs="Times New Roman"/>
          <w:color w:val="auto"/>
          <w:sz w:val="32"/>
          <w:szCs w:val="32"/>
          <w:highlight w:val="none"/>
          <w:u w:val="none"/>
          <w:lang w:val="en-US" w:eastAsia="zh-CN"/>
        </w:rPr>
        <w:t>人。</w:t>
      </w:r>
      <w:r>
        <w:rPr>
          <w:rFonts w:hint="eastAsia" w:ascii="Times New Roman" w:hAnsi="Times New Roman" w:eastAsia="方正仿宋简体" w:cs="Times New Roman"/>
          <w:b/>
          <w:bCs/>
          <w:sz w:val="32"/>
          <w:szCs w:val="32"/>
          <w:highlight w:val="none"/>
          <w:lang w:val="en-US" w:eastAsia="zh-CN"/>
        </w:rPr>
        <w:t>产业转型步伐加快</w:t>
      </w:r>
      <w:r>
        <w:rPr>
          <w:rFonts w:hint="eastAsia" w:ascii="Times New Roman" w:hAnsi="Times New Roman" w:eastAsia="方正楷体简体" w:cs="Times New Roman"/>
          <w:sz w:val="32"/>
          <w:szCs w:val="32"/>
          <w:highlight w:val="none"/>
          <w:lang w:val="en-US" w:eastAsia="zh-CN"/>
        </w:rPr>
        <w:t>。</w:t>
      </w:r>
      <w:r>
        <w:rPr>
          <w:rFonts w:hint="eastAsia" w:ascii="Times New Roman" w:hAnsi="Times New Roman" w:eastAsia="方正仿宋简体" w:cs="Times New Roman"/>
          <w:sz w:val="32"/>
          <w:szCs w:val="40"/>
          <w:lang w:val="en-US" w:eastAsia="zh-CN"/>
        </w:rPr>
        <w:t>工业经济稳中有进，</w:t>
      </w:r>
      <w:r>
        <w:rPr>
          <w:rFonts w:hint="default" w:ascii="Times New Roman" w:hAnsi="Times New Roman" w:eastAsia="方正仿宋简体" w:cs="Times New Roman"/>
          <w:sz w:val="32"/>
          <w:szCs w:val="40"/>
        </w:rPr>
        <w:t>规上工业总产值</w:t>
      </w:r>
      <w:r>
        <w:rPr>
          <w:rFonts w:hint="default" w:ascii="Times New Roman" w:hAnsi="Times New Roman" w:eastAsia="方正仿宋简体" w:cs="Times New Roman"/>
          <w:sz w:val="32"/>
          <w:szCs w:val="40"/>
          <w:lang w:val="en-US" w:eastAsia="zh-CN"/>
        </w:rPr>
        <w:t>同比</w:t>
      </w:r>
      <w:r>
        <w:rPr>
          <w:rFonts w:hint="default" w:ascii="Times New Roman" w:hAnsi="Times New Roman" w:eastAsia="方正仿宋简体" w:cs="Times New Roman"/>
          <w:sz w:val="32"/>
          <w:szCs w:val="40"/>
        </w:rPr>
        <w:t>增长1</w:t>
      </w:r>
      <w:r>
        <w:rPr>
          <w:rFonts w:hint="default" w:ascii="Times New Roman" w:hAnsi="Times New Roman" w:eastAsia="方正仿宋简体" w:cs="Times New Roman"/>
          <w:sz w:val="32"/>
          <w:szCs w:val="40"/>
          <w:lang w:val="en-US" w:eastAsia="zh-CN"/>
        </w:rPr>
        <w:t>1</w:t>
      </w:r>
      <w:r>
        <w:rPr>
          <w:rFonts w:hint="default" w:ascii="Times New Roman" w:hAnsi="Times New Roman" w:eastAsia="方正仿宋简体" w:cs="Times New Roman"/>
          <w:sz w:val="32"/>
          <w:szCs w:val="40"/>
        </w:rPr>
        <w:t>.4%，</w:t>
      </w:r>
      <w:r>
        <w:rPr>
          <w:rFonts w:hint="default" w:ascii="Times New Roman" w:hAnsi="Times New Roman" w:eastAsia="方正仿宋简体" w:cs="Times New Roman"/>
          <w:sz w:val="32"/>
          <w:szCs w:val="40"/>
          <w:lang w:val="en-US" w:eastAsia="zh-CN"/>
        </w:rPr>
        <w:t>排名全市第</w:t>
      </w:r>
      <w:r>
        <w:rPr>
          <w:rFonts w:hint="eastAsia" w:ascii="Times New Roman" w:hAnsi="Times New Roman" w:eastAsia="方正仿宋简体" w:cs="Times New Roman"/>
          <w:sz w:val="32"/>
          <w:szCs w:val="40"/>
          <w:lang w:val="en-US" w:eastAsia="zh-CN"/>
        </w:rPr>
        <w:t>1</w:t>
      </w:r>
      <w:r>
        <w:rPr>
          <w:rFonts w:hint="default" w:ascii="Times New Roman" w:hAnsi="Times New Roman" w:eastAsia="方正仿宋简体" w:cs="Times New Roman"/>
          <w:sz w:val="32"/>
          <w:szCs w:val="40"/>
          <w:lang w:val="en-US" w:eastAsia="zh-CN"/>
        </w:rPr>
        <w:t>，其中</w:t>
      </w:r>
      <w:r>
        <w:rPr>
          <w:rFonts w:hint="eastAsia" w:ascii="Times New Roman" w:hAnsi="Times New Roman" w:eastAsia="方正仿宋简体" w:cs="Times New Roman"/>
          <w:sz w:val="32"/>
          <w:szCs w:val="40"/>
          <w:lang w:val="en-US" w:eastAsia="zh-CN"/>
        </w:rPr>
        <w:t>，</w:t>
      </w:r>
      <w:r>
        <w:rPr>
          <w:rFonts w:hint="default" w:ascii="Times New Roman" w:hAnsi="Times New Roman" w:eastAsia="方正仿宋简体" w:cs="Times New Roman"/>
          <w:sz w:val="32"/>
          <w:szCs w:val="40"/>
        </w:rPr>
        <w:t>新能源</w:t>
      </w:r>
      <w:r>
        <w:rPr>
          <w:rFonts w:hint="default" w:ascii="Times New Roman" w:hAnsi="Times New Roman" w:eastAsia="方正仿宋简体" w:cs="Times New Roman"/>
          <w:sz w:val="32"/>
          <w:szCs w:val="40"/>
          <w:lang w:eastAsia="zh-CN"/>
        </w:rPr>
        <w:t>、</w:t>
      </w:r>
      <w:r>
        <w:rPr>
          <w:rFonts w:hint="eastAsia" w:ascii="Times New Roman" w:hAnsi="Times New Roman" w:eastAsia="方正仿宋简体" w:cs="Times New Roman"/>
          <w:sz w:val="32"/>
          <w:szCs w:val="40"/>
          <w:lang w:val="en-US" w:eastAsia="zh-CN"/>
        </w:rPr>
        <w:t>高端</w:t>
      </w:r>
      <w:r>
        <w:rPr>
          <w:rFonts w:hint="default" w:ascii="Times New Roman" w:hAnsi="Times New Roman" w:eastAsia="方正仿宋简体" w:cs="Times New Roman"/>
          <w:sz w:val="32"/>
          <w:szCs w:val="32"/>
          <w:lang w:bidi="mn-Mong-CN"/>
        </w:rPr>
        <w:t>智造装备</w:t>
      </w:r>
      <w:r>
        <w:rPr>
          <w:rFonts w:hint="default" w:ascii="Times New Roman" w:hAnsi="Times New Roman" w:eastAsia="方正仿宋简体" w:cs="Times New Roman"/>
          <w:sz w:val="32"/>
          <w:szCs w:val="40"/>
          <w:lang w:eastAsia="zh-CN"/>
        </w:rPr>
        <w:t>、</w:t>
      </w:r>
      <w:r>
        <w:rPr>
          <w:rFonts w:hint="eastAsia" w:ascii="Times New Roman" w:hAnsi="Times New Roman" w:eastAsia="方正仿宋简体" w:cs="Times New Roman"/>
          <w:sz w:val="32"/>
          <w:szCs w:val="32"/>
          <w:lang w:val="en-US" w:eastAsia="zh-CN" w:bidi="mn-Mong-CN"/>
        </w:rPr>
        <w:t>高端新型</w:t>
      </w:r>
      <w:r>
        <w:rPr>
          <w:rFonts w:hint="default" w:ascii="Times New Roman" w:hAnsi="Times New Roman" w:eastAsia="方正仿宋简体" w:cs="Times New Roman"/>
          <w:sz w:val="32"/>
          <w:szCs w:val="32"/>
          <w:lang w:bidi="mn-Mong-CN"/>
        </w:rPr>
        <w:t>材料</w:t>
      </w:r>
      <w:r>
        <w:rPr>
          <w:rFonts w:hint="default" w:ascii="Times New Roman" w:hAnsi="Times New Roman" w:eastAsia="方正仿宋简体" w:cs="Times New Roman"/>
          <w:sz w:val="32"/>
          <w:szCs w:val="32"/>
          <w:lang w:val="en-US" w:eastAsia="zh-CN" w:bidi="mn-Mong-CN"/>
        </w:rPr>
        <w:t>三大主导产业</w:t>
      </w:r>
      <w:r>
        <w:rPr>
          <w:rFonts w:hint="default" w:ascii="Times New Roman" w:hAnsi="Times New Roman" w:eastAsia="方正仿宋简体" w:cs="Times New Roman"/>
          <w:sz w:val="32"/>
          <w:szCs w:val="32"/>
          <w:lang w:bidi="mn-Mong-CN"/>
        </w:rPr>
        <w:t>同比分别增长</w:t>
      </w:r>
      <w:r>
        <w:rPr>
          <w:rFonts w:hint="eastAsia" w:ascii="Times New Roman" w:hAnsi="Times New Roman" w:eastAsia="方正仿宋简体" w:cs="Times New Roman"/>
          <w:sz w:val="32"/>
          <w:szCs w:val="32"/>
          <w:lang w:val="en-US" w:eastAsia="zh-CN" w:bidi="mn-Mong-CN"/>
        </w:rPr>
        <w:t>19.8</w:t>
      </w:r>
      <w:r>
        <w:rPr>
          <w:rFonts w:hint="default" w:ascii="Times New Roman" w:hAnsi="Times New Roman" w:eastAsia="方正仿宋简体" w:cs="Times New Roman"/>
          <w:sz w:val="32"/>
          <w:szCs w:val="32"/>
          <w:lang w:bidi="mn-Mong-CN"/>
        </w:rPr>
        <w:t>%、</w:t>
      </w:r>
      <w:r>
        <w:rPr>
          <w:rFonts w:hint="eastAsia" w:ascii="Times New Roman" w:hAnsi="Times New Roman" w:eastAsia="方正仿宋简体" w:cs="Times New Roman"/>
          <w:sz w:val="32"/>
          <w:szCs w:val="32"/>
          <w:lang w:val="en-US" w:eastAsia="zh-CN" w:bidi="mn-Mong-CN"/>
        </w:rPr>
        <w:t>17.5</w:t>
      </w:r>
      <w:r>
        <w:rPr>
          <w:rFonts w:hint="default" w:ascii="Times New Roman" w:hAnsi="Times New Roman" w:eastAsia="方正仿宋简体" w:cs="Times New Roman"/>
          <w:sz w:val="32"/>
          <w:szCs w:val="32"/>
          <w:lang w:bidi="mn-Mong-CN"/>
        </w:rPr>
        <w:t>%、</w:t>
      </w:r>
      <w:r>
        <w:rPr>
          <w:rFonts w:hint="eastAsia" w:ascii="Times New Roman" w:hAnsi="Times New Roman" w:eastAsia="方正仿宋简体" w:cs="Times New Roman"/>
          <w:sz w:val="32"/>
          <w:szCs w:val="32"/>
          <w:lang w:val="en-US" w:eastAsia="zh-CN" w:bidi="mn-Mong-CN"/>
        </w:rPr>
        <w:t>6.8</w:t>
      </w:r>
      <w:r>
        <w:rPr>
          <w:rFonts w:hint="default" w:ascii="Times New Roman" w:hAnsi="Times New Roman" w:eastAsia="方正仿宋简体" w:cs="Times New Roman"/>
          <w:sz w:val="32"/>
          <w:szCs w:val="32"/>
          <w:lang w:bidi="mn-Mong-CN"/>
        </w:rPr>
        <w:t>%</w:t>
      </w:r>
      <w:r>
        <w:rPr>
          <w:rFonts w:hint="default" w:ascii="Times New Roman" w:hAnsi="Times New Roman" w:eastAsia="方正仿宋简体" w:cs="Times New Roman"/>
          <w:sz w:val="32"/>
          <w:szCs w:val="32"/>
          <w:lang w:eastAsia="zh-CN" w:bidi="mn-Mong-CN"/>
        </w:rPr>
        <w:t>；</w:t>
      </w:r>
      <w:r>
        <w:rPr>
          <w:rFonts w:hint="default" w:ascii="Times New Roman" w:hAnsi="Times New Roman" w:eastAsia="方正仿宋简体" w:cs="Times New Roman"/>
          <w:sz w:val="32"/>
          <w:szCs w:val="40"/>
          <w:lang w:val="en-US" w:eastAsia="zh-CN"/>
        </w:rPr>
        <w:t>工业投资同比增长27.7%；</w:t>
      </w:r>
      <w:r>
        <w:rPr>
          <w:rFonts w:hint="default" w:ascii="Times New Roman" w:hAnsi="Times New Roman" w:eastAsia="方正仿宋简体" w:cs="Times New Roman"/>
          <w:sz w:val="32"/>
          <w:szCs w:val="40"/>
        </w:rPr>
        <w:t>申报国家级专精特新</w:t>
      </w:r>
      <w:r>
        <w:rPr>
          <w:rFonts w:hint="default" w:ascii="Times New Roman" w:hAnsi="Times New Roman" w:eastAsia="方正仿宋简体" w:cs="Times New Roman"/>
          <w:sz w:val="32"/>
          <w:szCs w:val="40"/>
          <w:lang w:eastAsia="zh-CN"/>
        </w:rPr>
        <w:t>“</w:t>
      </w:r>
      <w:r>
        <w:rPr>
          <w:rFonts w:hint="default" w:ascii="Times New Roman" w:hAnsi="Times New Roman" w:eastAsia="方正仿宋简体" w:cs="Times New Roman"/>
          <w:sz w:val="32"/>
          <w:szCs w:val="40"/>
        </w:rPr>
        <w:t>小巨人</w:t>
      </w:r>
      <w:r>
        <w:rPr>
          <w:rFonts w:hint="default" w:ascii="Times New Roman" w:hAnsi="Times New Roman" w:eastAsia="方正仿宋简体" w:cs="Times New Roman"/>
          <w:sz w:val="32"/>
          <w:szCs w:val="40"/>
          <w:lang w:eastAsia="zh-CN"/>
        </w:rPr>
        <w:t>”</w:t>
      </w:r>
      <w:r>
        <w:rPr>
          <w:rFonts w:hint="default" w:ascii="Times New Roman" w:hAnsi="Times New Roman" w:eastAsia="方正仿宋简体" w:cs="Times New Roman"/>
          <w:sz w:val="32"/>
          <w:szCs w:val="40"/>
        </w:rPr>
        <w:t>企业10家</w:t>
      </w:r>
      <w:r>
        <w:rPr>
          <w:rFonts w:hint="eastAsia" w:ascii="Times New Roman" w:hAnsi="Times New Roman" w:eastAsia="方正仿宋简体" w:cs="Times New Roman"/>
          <w:sz w:val="32"/>
          <w:szCs w:val="40"/>
          <w:lang w:eastAsia="zh-CN"/>
        </w:rPr>
        <w:t>，</w:t>
      </w:r>
      <w:r>
        <w:rPr>
          <w:rFonts w:hint="eastAsia" w:ascii="Times New Roman" w:hAnsi="Times New Roman" w:eastAsia="方正仿宋简体" w:cs="Times New Roman"/>
          <w:sz w:val="32"/>
          <w:szCs w:val="40"/>
          <w:lang w:val="en-US" w:eastAsia="zh-CN"/>
        </w:rPr>
        <w:t>已通过省级评审</w:t>
      </w:r>
      <w:r>
        <w:rPr>
          <w:rFonts w:hint="default" w:ascii="Times New Roman" w:hAnsi="Times New Roman" w:eastAsia="方正仿宋简体" w:cs="Times New Roman"/>
          <w:sz w:val="32"/>
          <w:szCs w:val="40"/>
          <w:lang w:eastAsia="zh-CN"/>
        </w:rPr>
        <w:t>；</w:t>
      </w:r>
      <w:r>
        <w:rPr>
          <w:rFonts w:hint="default" w:ascii="Times New Roman" w:hAnsi="Times New Roman" w:eastAsia="方正仿宋简体" w:cs="Times New Roman"/>
          <w:sz w:val="32"/>
          <w:szCs w:val="40"/>
        </w:rPr>
        <w:t>组织25家企业开展数字化改造</w:t>
      </w:r>
      <w:r>
        <w:rPr>
          <w:rFonts w:hint="default" w:ascii="Times New Roman" w:hAnsi="Times New Roman" w:eastAsia="方正仿宋简体" w:cs="Times New Roman"/>
          <w:sz w:val="32"/>
          <w:szCs w:val="40"/>
          <w:lang w:eastAsia="zh-CN"/>
        </w:rPr>
        <w:t>，</w:t>
      </w:r>
      <w:r>
        <w:rPr>
          <w:rFonts w:hint="default" w:ascii="Times New Roman" w:hAnsi="Times New Roman" w:eastAsia="方正仿宋简体" w:cs="Times New Roman"/>
          <w:sz w:val="32"/>
          <w:szCs w:val="40"/>
        </w:rPr>
        <w:t>辅导28家企业争创省先进级智能工厂</w:t>
      </w:r>
      <w:r>
        <w:rPr>
          <w:rFonts w:hint="default" w:ascii="Times New Roman" w:hAnsi="Times New Roman" w:eastAsia="方正仿宋简体" w:cs="Times New Roman"/>
          <w:sz w:val="32"/>
          <w:szCs w:val="40"/>
          <w:lang w:eastAsia="zh-CN"/>
        </w:rPr>
        <w:t>；</w:t>
      </w:r>
      <w:r>
        <w:rPr>
          <w:rFonts w:hint="eastAsia" w:ascii="Times New Roman" w:hAnsi="Times New Roman" w:eastAsia="方正仿宋简体" w:cs="Times New Roman"/>
          <w:sz w:val="32"/>
          <w:szCs w:val="40"/>
          <w:lang w:val="en-US" w:eastAsia="zh-CN"/>
        </w:rPr>
        <w:t>召开全区服务业扩能提质大会，</w:t>
      </w:r>
      <w:r>
        <w:rPr>
          <w:rFonts w:hint="eastAsia" w:ascii="Times New Roman" w:hAnsi="Times New Roman" w:eastAsia="方正仿宋简体" w:cs="Times New Roman"/>
          <w:sz w:val="32"/>
          <w:szCs w:val="40"/>
          <w:highlight w:val="none"/>
          <w:lang w:val="en-US" w:eastAsia="zh-CN"/>
        </w:rPr>
        <w:t>出台行动方案，</w:t>
      </w:r>
      <w:r>
        <w:rPr>
          <w:rFonts w:hint="default" w:ascii="Times New Roman" w:hAnsi="Times New Roman" w:eastAsia="方正仿宋简体" w:cs="Times New Roman"/>
          <w:sz w:val="32"/>
          <w:szCs w:val="40"/>
          <w:lang w:val="en-US" w:eastAsia="zh-CN"/>
        </w:rPr>
        <w:t>参与核算的规上服务业营收（</w:t>
      </w:r>
      <w:r>
        <w:rPr>
          <w:rFonts w:hint="eastAsia" w:ascii="方正楷体简体" w:hAnsi="方正楷体简体" w:eastAsia="方正楷体简体" w:cs="方正楷体简体"/>
          <w:sz w:val="32"/>
          <w:szCs w:val="40"/>
          <w:lang w:val="en-US" w:eastAsia="zh-CN"/>
        </w:rPr>
        <w:t>错月</w:t>
      </w:r>
      <w:r>
        <w:rPr>
          <w:rFonts w:hint="default" w:ascii="Times New Roman" w:hAnsi="Times New Roman" w:eastAsia="方正仿宋简体" w:cs="Times New Roman"/>
          <w:sz w:val="32"/>
          <w:szCs w:val="40"/>
          <w:lang w:val="en-US" w:eastAsia="zh-CN"/>
        </w:rPr>
        <w:t>）同比增长10.1%，</w:t>
      </w:r>
      <w:r>
        <w:rPr>
          <w:rFonts w:hint="default" w:ascii="Times New Roman" w:hAnsi="Times New Roman" w:eastAsia="方正仿宋简体" w:cs="Times New Roman"/>
          <w:sz w:val="32"/>
          <w:szCs w:val="32"/>
          <w:highlight w:val="none"/>
        </w:rPr>
        <w:t>其中</w:t>
      </w:r>
      <w:r>
        <w:rPr>
          <w:rFonts w:hint="default" w:ascii="Times New Roman" w:hAnsi="Times New Roman" w:eastAsia="方正仿宋简体" w:cs="Times New Roman"/>
          <w:sz w:val="32"/>
          <w:szCs w:val="32"/>
          <w:highlight w:val="none"/>
          <w:lang w:val="en-US" w:eastAsia="zh-CN"/>
        </w:rPr>
        <w:t>交通运输</w:t>
      </w:r>
      <w:r>
        <w:rPr>
          <w:rFonts w:hint="default" w:ascii="Times New Roman" w:hAnsi="Times New Roman" w:eastAsia="方正仿宋简体" w:cs="Times New Roman"/>
          <w:sz w:val="32"/>
          <w:szCs w:val="32"/>
          <w:highlight w:val="none"/>
        </w:rPr>
        <w:t>业、</w:t>
      </w:r>
      <w:r>
        <w:rPr>
          <w:rFonts w:hint="default" w:ascii="Times New Roman" w:hAnsi="Times New Roman" w:eastAsia="方正仿宋简体" w:cs="Times New Roman"/>
          <w:sz w:val="32"/>
          <w:szCs w:val="32"/>
          <w:highlight w:val="none"/>
          <w:lang w:val="en-US" w:eastAsia="zh-CN"/>
        </w:rPr>
        <w:t>软件信息</w:t>
      </w:r>
      <w:r>
        <w:rPr>
          <w:rFonts w:hint="default" w:ascii="Times New Roman" w:hAnsi="Times New Roman" w:eastAsia="方正仿宋简体" w:cs="Times New Roman"/>
          <w:sz w:val="32"/>
          <w:szCs w:val="32"/>
          <w:highlight w:val="none"/>
        </w:rPr>
        <w:t>业、文体娱乐业等多个细分领域</w:t>
      </w:r>
      <w:r>
        <w:rPr>
          <w:rFonts w:hint="eastAsia" w:ascii="Times New Roman" w:hAnsi="Times New Roman" w:eastAsia="方正仿宋简体" w:cs="Times New Roman"/>
          <w:sz w:val="32"/>
          <w:szCs w:val="32"/>
          <w:highlight w:val="none"/>
          <w:lang w:val="en-US" w:eastAsia="zh-CN"/>
        </w:rPr>
        <w:t>增速</w:t>
      </w:r>
      <w:r>
        <w:rPr>
          <w:rFonts w:hint="default" w:ascii="Times New Roman" w:hAnsi="Times New Roman" w:eastAsia="方正仿宋简体" w:cs="Times New Roman"/>
          <w:sz w:val="32"/>
          <w:szCs w:val="32"/>
          <w:highlight w:val="none"/>
        </w:rPr>
        <w:t>超</w:t>
      </w:r>
      <w:r>
        <w:rPr>
          <w:rFonts w:hint="default" w:ascii="Times New Roman" w:hAnsi="Times New Roman" w:eastAsia="方正仿宋简体" w:cs="Times New Roman"/>
          <w:sz w:val="32"/>
          <w:szCs w:val="32"/>
          <w:highlight w:val="none"/>
          <w:lang w:val="en-US" w:eastAsia="zh-CN"/>
        </w:rPr>
        <w:t>1</w:t>
      </w:r>
      <w:r>
        <w:rPr>
          <w:rFonts w:hint="default" w:ascii="Times New Roman" w:hAnsi="Times New Roman" w:eastAsia="方正仿宋简体" w:cs="Times New Roman"/>
          <w:sz w:val="32"/>
          <w:szCs w:val="32"/>
          <w:highlight w:val="none"/>
        </w:rPr>
        <w:t>5%</w:t>
      </w:r>
      <w:r>
        <w:rPr>
          <w:rFonts w:hint="default" w:ascii="Times New Roman" w:hAnsi="Times New Roman" w:eastAsia="方正仿宋简体" w:cs="Times New Roman"/>
          <w:sz w:val="32"/>
          <w:szCs w:val="32"/>
          <w:highlight w:val="none"/>
          <w:lang w:eastAsia="zh-CN"/>
        </w:rPr>
        <w:t>；</w:t>
      </w:r>
      <w:r>
        <w:rPr>
          <w:rFonts w:hint="default" w:ascii="Times New Roman" w:hAnsi="Times New Roman" w:eastAsia="方正仿宋简体" w:cs="Times New Roman"/>
          <w:sz w:val="32"/>
          <w:szCs w:val="32"/>
          <w:highlight w:val="none"/>
        </w:rPr>
        <w:t>“六合茉莉绿能资产效能洞察与循环经济智慧数据服务”</w:t>
      </w:r>
      <w:r>
        <w:rPr>
          <w:rFonts w:hint="default" w:ascii="Times New Roman" w:hAnsi="Times New Roman" w:eastAsia="方正仿宋简体" w:cs="Times New Roman"/>
          <w:sz w:val="32"/>
          <w:szCs w:val="32"/>
          <w:highlight w:val="none"/>
          <w:lang w:val="en-US" w:eastAsia="zh-CN"/>
        </w:rPr>
        <w:t>等</w:t>
      </w:r>
      <w:r>
        <w:rPr>
          <w:rFonts w:hint="default" w:ascii="Times New Roman" w:hAnsi="Times New Roman" w:eastAsia="方正仿宋简体" w:cs="Times New Roman"/>
          <w:sz w:val="32"/>
          <w:szCs w:val="32"/>
          <w:highlight w:val="none"/>
        </w:rPr>
        <w:t>数据产品</w:t>
      </w:r>
      <w:r>
        <w:rPr>
          <w:rFonts w:hint="default" w:ascii="Times New Roman" w:hAnsi="Times New Roman" w:eastAsia="方正仿宋简体" w:cs="Times New Roman"/>
          <w:spacing w:val="5"/>
          <w:sz w:val="32"/>
          <w:szCs w:val="32"/>
        </w:rPr>
        <w:t>在省数交所挂牌上架</w:t>
      </w:r>
      <w:r>
        <w:rPr>
          <w:rFonts w:hint="default" w:ascii="Times New Roman" w:hAnsi="Times New Roman" w:eastAsia="方正仿宋简体" w:cs="Times New Roman"/>
          <w:sz w:val="32"/>
          <w:szCs w:val="32"/>
          <w:highlight w:val="none"/>
        </w:rPr>
        <w:t>，实现国企数据资产市场化探索</w:t>
      </w:r>
      <w:r>
        <w:rPr>
          <w:rFonts w:hint="default" w:ascii="Times New Roman" w:hAnsi="Times New Roman" w:eastAsia="方正仿宋简体" w:cs="Times New Roman"/>
          <w:sz w:val="32"/>
          <w:szCs w:val="32"/>
          <w:highlight w:val="none"/>
          <w:lang w:val="en-US" w:eastAsia="zh-CN"/>
        </w:rPr>
        <w:t>新</w:t>
      </w:r>
      <w:r>
        <w:rPr>
          <w:rFonts w:hint="default" w:ascii="Times New Roman" w:hAnsi="Times New Roman" w:eastAsia="方正仿宋简体" w:cs="Times New Roman"/>
          <w:sz w:val="32"/>
          <w:szCs w:val="32"/>
          <w:highlight w:val="none"/>
        </w:rPr>
        <w:t>突破</w:t>
      </w:r>
      <w:r>
        <w:rPr>
          <w:rFonts w:hint="default" w:ascii="Times New Roman" w:hAnsi="Times New Roman" w:eastAsia="方正仿宋简体" w:cs="Times New Roman"/>
          <w:sz w:val="32"/>
          <w:szCs w:val="32"/>
          <w:highlight w:val="none"/>
          <w:lang w:val="en-US" w:eastAsia="zh-CN"/>
        </w:rPr>
        <w:t>；限上商品销售额</w:t>
      </w:r>
      <w:r>
        <w:rPr>
          <w:rFonts w:hint="default" w:ascii="Times New Roman" w:hAnsi="Times New Roman" w:eastAsia="方正仿宋简体" w:cs="Times New Roman"/>
          <w:sz w:val="32"/>
          <w:szCs w:val="40"/>
          <w:highlight w:val="none"/>
          <w:lang w:val="en-US" w:eastAsia="zh-CN"/>
        </w:rPr>
        <w:t>同比增长</w:t>
      </w:r>
      <w:r>
        <w:rPr>
          <w:rFonts w:hint="eastAsia" w:ascii="Times New Roman" w:hAnsi="Times New Roman" w:eastAsia="方正仿宋简体" w:cs="Times New Roman"/>
          <w:sz w:val="32"/>
          <w:szCs w:val="40"/>
          <w:highlight w:val="none"/>
          <w:lang w:val="en-US" w:eastAsia="zh-CN"/>
        </w:rPr>
        <w:t>10.6</w:t>
      </w:r>
      <w:r>
        <w:rPr>
          <w:rFonts w:hint="default" w:ascii="Times New Roman" w:hAnsi="Times New Roman" w:eastAsia="方正仿宋简体" w:cs="Times New Roman"/>
          <w:sz w:val="32"/>
          <w:szCs w:val="40"/>
          <w:highlight w:val="none"/>
          <w:lang w:val="en-US" w:eastAsia="zh-CN"/>
        </w:rPr>
        <w:t>%</w:t>
      </w:r>
      <w:r>
        <w:rPr>
          <w:rFonts w:hint="default" w:ascii="Times New Roman" w:hAnsi="Times New Roman" w:eastAsia="方正仿宋简体" w:cs="Times New Roman"/>
          <w:sz w:val="32"/>
          <w:szCs w:val="40"/>
          <w:lang w:val="en-US" w:eastAsia="zh-CN"/>
        </w:rPr>
        <w:t>。</w:t>
      </w:r>
      <w:r>
        <w:rPr>
          <w:rFonts w:hint="default" w:ascii="Times New Roman" w:hAnsi="Times New Roman" w:eastAsia="方正仿宋简体" w:cs="Times New Roman"/>
          <w:b/>
          <w:bCs/>
          <w:sz w:val="32"/>
          <w:szCs w:val="32"/>
          <w:highlight w:val="none"/>
          <w:lang w:val="en-US" w:eastAsia="zh-CN"/>
        </w:rPr>
        <w:t>项目招引成效显著</w:t>
      </w:r>
      <w:r>
        <w:rPr>
          <w:rFonts w:hint="default" w:ascii="Times New Roman" w:hAnsi="Times New Roman" w:eastAsia="方正仿宋简体" w:cs="Times New Roman"/>
          <w:sz w:val="32"/>
          <w:szCs w:val="32"/>
          <w:lang w:val="en-US" w:eastAsia="zh-CN"/>
        </w:rPr>
        <w:t>。实施产业强区“六大战区”工作机制，组建区创新创业服务中心</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突出“产业培育生态化、企服招商一体化、市场导向专业化”，全力打造特色优势产业集群；</w:t>
      </w:r>
      <w:r>
        <w:rPr>
          <w:rFonts w:hint="eastAsia" w:ascii="Times New Roman" w:hAnsi="Times New Roman" w:eastAsia="方正仿宋简体" w:cs="Times New Roman"/>
          <w:sz w:val="32"/>
          <w:szCs w:val="32"/>
          <w:lang w:val="en-US" w:eastAsia="zh-CN"/>
        </w:rPr>
        <w:t>上半年</w:t>
      </w:r>
      <w:r>
        <w:rPr>
          <w:rFonts w:hint="default" w:ascii="Times New Roman" w:hAnsi="Times New Roman" w:eastAsia="方正仿宋简体" w:cs="Times New Roman"/>
          <w:sz w:val="32"/>
          <w:szCs w:val="32"/>
          <w:lang w:val="en-US" w:eastAsia="zh-CN"/>
        </w:rPr>
        <w:t>累计</w:t>
      </w:r>
      <w:r>
        <w:rPr>
          <w:rFonts w:hint="default" w:ascii="Times New Roman" w:hAnsi="Times New Roman" w:eastAsia="方正仿宋简体" w:cs="Times New Roman"/>
          <w:color w:val="auto"/>
          <w:sz w:val="32"/>
          <w:szCs w:val="32"/>
          <w:highlight w:val="none"/>
        </w:rPr>
        <w:t>招引项目</w:t>
      </w:r>
      <w:r>
        <w:rPr>
          <w:rFonts w:hint="eastAsia" w:ascii="Times New Roman" w:hAnsi="Times New Roman" w:eastAsia="方正仿宋简体" w:cs="Times New Roman"/>
          <w:color w:val="auto"/>
          <w:sz w:val="32"/>
          <w:szCs w:val="32"/>
          <w:highlight w:val="none"/>
          <w:lang w:val="en-US" w:eastAsia="zh-CN"/>
        </w:rPr>
        <w:t>77</w:t>
      </w:r>
      <w:r>
        <w:rPr>
          <w:rFonts w:hint="default" w:ascii="Times New Roman" w:hAnsi="Times New Roman" w:eastAsia="方正仿宋简体" w:cs="Times New Roman"/>
          <w:color w:val="auto"/>
          <w:sz w:val="32"/>
          <w:szCs w:val="32"/>
          <w:highlight w:val="none"/>
        </w:rPr>
        <w:t>个、开工/运营项目</w:t>
      </w:r>
      <w:r>
        <w:rPr>
          <w:rFonts w:hint="eastAsia" w:ascii="Times New Roman" w:hAnsi="Times New Roman" w:eastAsia="方正仿宋简体" w:cs="Times New Roman"/>
          <w:color w:val="auto"/>
          <w:sz w:val="32"/>
          <w:szCs w:val="32"/>
          <w:highlight w:val="none"/>
          <w:lang w:val="en-US" w:eastAsia="zh-CN"/>
        </w:rPr>
        <w:t>45</w:t>
      </w:r>
      <w:r>
        <w:rPr>
          <w:rFonts w:hint="default" w:ascii="Times New Roman" w:hAnsi="Times New Roman" w:eastAsia="方正仿宋简体" w:cs="Times New Roman"/>
          <w:color w:val="auto"/>
          <w:sz w:val="32"/>
          <w:szCs w:val="32"/>
          <w:highlight w:val="none"/>
        </w:rPr>
        <w:t>个、实际投资总额</w:t>
      </w:r>
      <w:r>
        <w:rPr>
          <w:rFonts w:hint="eastAsia" w:ascii="Times New Roman" w:hAnsi="Times New Roman" w:eastAsia="方正仿宋简体" w:cs="Times New Roman"/>
          <w:color w:val="auto"/>
          <w:sz w:val="32"/>
          <w:szCs w:val="32"/>
          <w:highlight w:val="none"/>
          <w:lang w:val="en-US" w:eastAsia="zh-CN"/>
        </w:rPr>
        <w:t>53.9</w:t>
      </w:r>
      <w:r>
        <w:rPr>
          <w:rFonts w:hint="default" w:ascii="Times New Roman" w:hAnsi="Times New Roman" w:eastAsia="方正仿宋简体" w:cs="Times New Roman"/>
          <w:color w:val="auto"/>
          <w:sz w:val="32"/>
          <w:szCs w:val="32"/>
          <w:highlight w:val="none"/>
        </w:rPr>
        <w:t>亿元</w:t>
      </w:r>
      <w:r>
        <w:rPr>
          <w:rFonts w:hint="default" w:ascii="Times New Roman" w:hAnsi="Times New Roman" w:eastAsia="方正仿宋简体" w:cs="Times New Roman"/>
          <w:color w:val="auto"/>
          <w:sz w:val="32"/>
          <w:szCs w:val="32"/>
          <w:highlight w:val="none"/>
          <w:lang w:eastAsia="zh-CN"/>
        </w:rPr>
        <w:t>；</w:t>
      </w:r>
      <w:r>
        <w:rPr>
          <w:rFonts w:hint="default" w:ascii="Times New Roman" w:hAnsi="Times New Roman" w:eastAsia="方正仿宋简体" w:cs="Times New Roman"/>
          <w:sz w:val="32"/>
          <w:szCs w:val="32"/>
          <w:lang w:val="en-US" w:eastAsia="zh-CN"/>
        </w:rPr>
        <w:t>总投资50亿元的高端膜材料项目成功签约</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省粮储基地项目按计划全面推进</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color w:val="auto"/>
          <w:sz w:val="32"/>
          <w:szCs w:val="32"/>
          <w:highlight w:val="none"/>
          <w:lang w:eastAsia="zh-CN"/>
        </w:rPr>
        <w:t>积极争取上级资金支持，</w:t>
      </w:r>
      <w:r>
        <w:rPr>
          <w:rFonts w:hint="default" w:ascii="Times New Roman" w:hAnsi="Times New Roman" w:eastAsia="方正仿宋简体" w:cs="Times New Roman"/>
          <w:sz w:val="32"/>
          <w:szCs w:val="40"/>
          <w:highlight w:val="none"/>
        </w:rPr>
        <w:t>获批国债“两重”领域项目</w:t>
      </w:r>
      <w:r>
        <w:rPr>
          <w:rFonts w:hint="default" w:ascii="Times New Roman" w:hAnsi="Times New Roman" w:eastAsia="方正仿宋简体" w:cs="Times New Roman"/>
          <w:sz w:val="32"/>
          <w:szCs w:val="40"/>
          <w:highlight w:val="none"/>
          <w:lang w:val="en-US" w:eastAsia="zh-CN"/>
        </w:rPr>
        <w:t>4</w:t>
      </w:r>
      <w:r>
        <w:rPr>
          <w:rFonts w:hint="default" w:ascii="Times New Roman" w:hAnsi="Times New Roman" w:eastAsia="方正仿宋简体" w:cs="Times New Roman"/>
          <w:sz w:val="32"/>
          <w:szCs w:val="40"/>
          <w:highlight w:val="none"/>
        </w:rPr>
        <w:t>个、“两新”领域项目</w:t>
      </w:r>
      <w:r>
        <w:rPr>
          <w:rFonts w:hint="default" w:ascii="Times New Roman" w:hAnsi="Times New Roman" w:eastAsia="方正仿宋简体" w:cs="Times New Roman"/>
          <w:sz w:val="32"/>
          <w:szCs w:val="40"/>
          <w:highlight w:val="none"/>
          <w:lang w:val="en-US" w:eastAsia="zh-CN"/>
        </w:rPr>
        <w:t>2</w:t>
      </w:r>
      <w:r>
        <w:rPr>
          <w:rFonts w:hint="default" w:ascii="Times New Roman" w:hAnsi="Times New Roman" w:eastAsia="方正仿宋简体" w:cs="Times New Roman"/>
          <w:sz w:val="32"/>
          <w:szCs w:val="40"/>
          <w:highlight w:val="none"/>
        </w:rPr>
        <w:t>个、专项债领域项目</w:t>
      </w:r>
      <w:r>
        <w:rPr>
          <w:rFonts w:hint="default" w:ascii="Times New Roman" w:hAnsi="Times New Roman" w:eastAsia="方正仿宋简体" w:cs="Times New Roman"/>
          <w:sz w:val="32"/>
          <w:szCs w:val="40"/>
          <w:highlight w:val="none"/>
          <w:lang w:val="en-US" w:eastAsia="zh-CN"/>
        </w:rPr>
        <w:t>5</w:t>
      </w:r>
      <w:r>
        <w:rPr>
          <w:rFonts w:hint="default" w:ascii="Times New Roman" w:hAnsi="Times New Roman" w:eastAsia="方正仿宋简体" w:cs="Times New Roman"/>
          <w:sz w:val="32"/>
          <w:szCs w:val="40"/>
          <w:highlight w:val="none"/>
        </w:rPr>
        <w:t>个、中央预算内资金领域项目</w:t>
      </w:r>
      <w:r>
        <w:rPr>
          <w:rFonts w:hint="default" w:ascii="Times New Roman" w:hAnsi="Times New Roman" w:eastAsia="方正仿宋简体" w:cs="Times New Roman"/>
          <w:sz w:val="32"/>
          <w:szCs w:val="40"/>
          <w:highlight w:val="none"/>
          <w:lang w:val="en-US" w:eastAsia="zh-CN"/>
        </w:rPr>
        <w:t>1</w:t>
      </w:r>
      <w:r>
        <w:rPr>
          <w:rFonts w:hint="default" w:ascii="Times New Roman" w:hAnsi="Times New Roman" w:eastAsia="方正仿宋简体" w:cs="Times New Roman"/>
          <w:sz w:val="32"/>
          <w:szCs w:val="40"/>
          <w:highlight w:val="none"/>
        </w:rPr>
        <w:t>个，</w:t>
      </w:r>
      <w:r>
        <w:rPr>
          <w:rFonts w:hint="eastAsia" w:ascii="Times New Roman" w:hAnsi="Times New Roman" w:eastAsia="方正仿宋简体" w:cs="Times New Roman"/>
          <w:sz w:val="32"/>
          <w:szCs w:val="40"/>
          <w:highlight w:val="none"/>
          <w:lang w:val="en-US" w:eastAsia="zh-CN"/>
        </w:rPr>
        <w:t>争取</w:t>
      </w:r>
      <w:r>
        <w:rPr>
          <w:rFonts w:hint="default" w:ascii="Times New Roman" w:hAnsi="Times New Roman" w:eastAsia="方正仿宋简体" w:cs="Times New Roman"/>
          <w:sz w:val="32"/>
          <w:szCs w:val="40"/>
          <w:highlight w:val="none"/>
        </w:rPr>
        <w:t>金额超</w:t>
      </w:r>
      <w:r>
        <w:rPr>
          <w:rFonts w:hint="default" w:ascii="Times New Roman" w:hAnsi="Times New Roman" w:eastAsia="方正仿宋简体" w:cs="Times New Roman"/>
          <w:sz w:val="32"/>
          <w:szCs w:val="40"/>
          <w:highlight w:val="none"/>
          <w:lang w:val="en-US" w:eastAsia="zh-CN"/>
        </w:rPr>
        <w:t>4.8</w:t>
      </w:r>
      <w:r>
        <w:rPr>
          <w:rFonts w:hint="default" w:ascii="Times New Roman" w:hAnsi="Times New Roman" w:eastAsia="方正仿宋简体" w:cs="Times New Roman"/>
          <w:sz w:val="32"/>
          <w:szCs w:val="40"/>
          <w:highlight w:val="none"/>
        </w:rPr>
        <w:t>亿元</w:t>
      </w:r>
      <w:r>
        <w:rPr>
          <w:rFonts w:hint="default" w:ascii="Times New Roman" w:hAnsi="Times New Roman" w:eastAsia="方正仿宋简体" w:cs="Times New Roman"/>
          <w:sz w:val="32"/>
          <w:szCs w:val="40"/>
          <w:highlight w:val="none"/>
          <w:lang w:eastAsia="zh-CN"/>
        </w:rPr>
        <w:t>；</w:t>
      </w:r>
      <w:r>
        <w:rPr>
          <w:rFonts w:hint="default" w:ascii="Times New Roman" w:hAnsi="Times New Roman" w:eastAsia="方正仿宋简体" w:cs="Times New Roman"/>
          <w:sz w:val="32"/>
          <w:szCs w:val="32"/>
          <w:lang w:val="en-US" w:eastAsia="zh-CN"/>
        </w:rPr>
        <w:t>推动设立总规模约15亿元的产业发展母基金，系统构建“子基金+直投”双轮驱动运作模式；</w:t>
      </w:r>
      <w:r>
        <w:rPr>
          <w:rFonts w:hint="eastAsia" w:ascii="Times New Roman" w:hAnsi="Times New Roman" w:eastAsia="方正仿宋简体" w:cs="Times New Roman"/>
          <w:sz w:val="32"/>
          <w:szCs w:val="32"/>
          <w:lang w:val="en-US" w:eastAsia="zh-CN"/>
        </w:rPr>
        <w:t>深化</w:t>
      </w:r>
      <w:r>
        <w:rPr>
          <w:rFonts w:hint="default" w:ascii="Times New Roman" w:hAnsi="Times New Roman" w:eastAsia="方正仿宋简体" w:cs="Times New Roman"/>
          <w:sz w:val="32"/>
          <w:szCs w:val="32"/>
        </w:rPr>
        <w:t>项目全生命周期管理服务，从推行“拿地即开工”到探索“五证齐发”模式，将分阶段“串联审批”优化为“并联审批”的全流程闭环管理，实现申报材料精简40%，审批时效提升60%</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40"/>
          <w:highlight w:val="none"/>
          <w:lang w:val="en-US" w:eastAsia="zh-CN"/>
        </w:rPr>
        <w:t>深化“地等项目”</w:t>
      </w:r>
      <w:r>
        <w:rPr>
          <w:rFonts w:hint="eastAsia" w:ascii="Times New Roman" w:hAnsi="Times New Roman" w:eastAsia="方正仿宋简体" w:cs="Times New Roman"/>
          <w:sz w:val="32"/>
          <w:szCs w:val="40"/>
          <w:highlight w:val="none"/>
          <w:lang w:val="en-US" w:eastAsia="zh-CN"/>
        </w:rPr>
        <w:t>机制</w:t>
      </w:r>
      <w:r>
        <w:rPr>
          <w:rFonts w:hint="default" w:ascii="Times New Roman" w:hAnsi="Times New Roman" w:eastAsia="方正仿宋简体" w:cs="Times New Roman"/>
          <w:sz w:val="32"/>
          <w:szCs w:val="40"/>
          <w:highlight w:val="none"/>
          <w:lang w:val="en-US" w:eastAsia="zh-CN"/>
        </w:rPr>
        <w:t>，储备立即可用、近期可用产业用地</w:t>
      </w:r>
      <w:r>
        <w:rPr>
          <w:rFonts w:hint="eastAsia" w:ascii="Times New Roman" w:hAnsi="Times New Roman" w:eastAsia="方正仿宋简体" w:cs="Times New Roman"/>
          <w:sz w:val="32"/>
          <w:szCs w:val="40"/>
          <w:highlight w:val="none"/>
          <w:lang w:val="en-US" w:eastAsia="zh-CN"/>
        </w:rPr>
        <w:t>超5200亩</w:t>
      </w:r>
      <w:r>
        <w:rPr>
          <w:rFonts w:hint="default" w:ascii="Times New Roman" w:hAnsi="Times New Roman" w:eastAsia="方正仿宋简体" w:cs="Times New Roman"/>
          <w:sz w:val="32"/>
          <w:szCs w:val="40"/>
          <w:highlight w:val="none"/>
          <w:lang w:val="en-US" w:eastAsia="zh-CN"/>
        </w:rPr>
        <w:t>。</w:t>
      </w:r>
      <w:r>
        <w:rPr>
          <w:rFonts w:hint="default" w:ascii="Times New Roman" w:hAnsi="Times New Roman" w:eastAsia="方正仿宋简体" w:cs="Times New Roman"/>
          <w:b/>
          <w:bCs/>
          <w:sz w:val="32"/>
          <w:szCs w:val="32"/>
          <w:highlight w:val="none"/>
          <w:lang w:val="en-US" w:eastAsia="zh-CN"/>
        </w:rPr>
        <w:t>农旅融合亮点纷呈。</w:t>
      </w:r>
      <w:r>
        <w:rPr>
          <w:rFonts w:hint="default" w:ascii="Times New Roman" w:hAnsi="Times New Roman" w:eastAsia="方正仿宋简体" w:cs="Times New Roman"/>
          <w:sz w:val="32"/>
          <w:szCs w:val="40"/>
          <w:highlight w:val="none"/>
          <w:lang w:val="en-US" w:eastAsia="zh-CN"/>
        </w:rPr>
        <w:t>成功入选国家乡村振兴示范县创建名单，39个重点提升项目</w:t>
      </w:r>
      <w:r>
        <w:rPr>
          <w:rFonts w:hint="default" w:ascii="Times New Roman" w:hAnsi="Times New Roman" w:eastAsia="方正仿宋简体" w:cs="Times New Roman"/>
          <w:kern w:val="2"/>
          <w:sz w:val="32"/>
          <w:szCs w:val="40"/>
          <w:highlight w:val="none"/>
          <w:lang w:val="en-US" w:eastAsia="zh-CN" w:bidi="ar-SA"/>
        </w:rPr>
        <w:t>压茬</w:t>
      </w:r>
      <w:r>
        <w:rPr>
          <w:rFonts w:hint="default" w:ascii="Times New Roman" w:hAnsi="Times New Roman" w:eastAsia="方正仿宋简体" w:cs="Times New Roman"/>
          <w:sz w:val="32"/>
          <w:szCs w:val="40"/>
          <w:highlight w:val="none"/>
          <w:lang w:val="en-US" w:eastAsia="zh-CN"/>
        </w:rPr>
        <w:t>推进；粮食生产基础持续夯实，夏熟粮油实现“三增一好”，</w:t>
      </w:r>
      <w:r>
        <w:rPr>
          <w:rFonts w:hint="eastAsia" w:ascii="Times New Roman" w:hAnsi="Times New Roman" w:eastAsia="方正仿宋简体" w:cs="Times New Roman"/>
          <w:sz w:val="32"/>
          <w:szCs w:val="40"/>
          <w:highlight w:val="none"/>
          <w:lang w:val="en-US" w:eastAsia="zh-CN"/>
        </w:rPr>
        <w:t>创</w:t>
      </w:r>
      <w:r>
        <w:rPr>
          <w:rFonts w:hint="default" w:ascii="Times New Roman" w:hAnsi="Times New Roman" w:eastAsia="方正仿宋简体" w:cs="Times New Roman"/>
          <w:sz w:val="32"/>
          <w:szCs w:val="40"/>
          <w:highlight w:val="none"/>
          <w:lang w:val="en-US" w:eastAsia="zh-CN"/>
        </w:rPr>
        <w:t>近年</w:t>
      </w:r>
      <w:r>
        <w:rPr>
          <w:rFonts w:hint="eastAsia" w:ascii="Times New Roman" w:hAnsi="Times New Roman" w:eastAsia="方正仿宋简体" w:cs="Times New Roman"/>
          <w:sz w:val="32"/>
          <w:szCs w:val="40"/>
          <w:highlight w:val="none"/>
          <w:lang w:val="en-US" w:eastAsia="zh-CN"/>
        </w:rPr>
        <w:t>最佳</w:t>
      </w:r>
      <w:r>
        <w:rPr>
          <w:rFonts w:hint="default" w:ascii="Times New Roman" w:hAnsi="Times New Roman" w:eastAsia="方正仿宋简体" w:cs="Times New Roman"/>
          <w:sz w:val="32"/>
          <w:szCs w:val="40"/>
          <w:highlight w:val="none"/>
          <w:lang w:val="en-US" w:eastAsia="zh-CN"/>
        </w:rPr>
        <w:t>水平；</w:t>
      </w:r>
      <w:r>
        <w:rPr>
          <w:rFonts w:hint="default" w:ascii="Times New Roman" w:hAnsi="Times New Roman" w:eastAsia="方正仿宋简体" w:cs="Times New Roman"/>
          <w:sz w:val="32"/>
          <w:szCs w:val="32"/>
          <w:highlight w:val="none"/>
        </w:rPr>
        <w:t>稳步</w:t>
      </w:r>
      <w:r>
        <w:rPr>
          <w:rFonts w:hint="eastAsia" w:ascii="Times New Roman" w:hAnsi="Times New Roman" w:eastAsia="方正仿宋简体" w:cs="Times New Roman"/>
          <w:sz w:val="32"/>
          <w:szCs w:val="32"/>
          <w:highlight w:val="none"/>
          <w:lang w:val="en-US" w:eastAsia="zh-CN"/>
        </w:rPr>
        <w:t>实施</w:t>
      </w:r>
      <w:r>
        <w:rPr>
          <w:rFonts w:hint="default" w:ascii="Times New Roman" w:hAnsi="Times New Roman" w:eastAsia="方正仿宋简体" w:cs="Times New Roman"/>
          <w:sz w:val="32"/>
          <w:szCs w:val="40"/>
          <w:highlight w:val="none"/>
          <w:lang w:val="en-US" w:eastAsia="zh-CN"/>
        </w:rPr>
        <w:t>3.36万亩高标准农田建设；“六合水芹”入选全国名特优新农产品名录；农作物耕种收综合机械化率达91.8%，</w:t>
      </w:r>
      <w:r>
        <w:rPr>
          <w:rFonts w:hint="eastAsia" w:ascii="Times New Roman" w:hAnsi="Times New Roman" w:eastAsia="方正仿宋简体" w:cs="Times New Roman"/>
          <w:sz w:val="32"/>
          <w:szCs w:val="40"/>
          <w:highlight w:val="none"/>
          <w:lang w:val="en-US" w:eastAsia="zh-CN"/>
        </w:rPr>
        <w:t>稳居</w:t>
      </w:r>
      <w:r>
        <w:rPr>
          <w:rFonts w:hint="default" w:ascii="Times New Roman" w:hAnsi="Times New Roman" w:eastAsia="方正仿宋简体" w:cs="Times New Roman"/>
          <w:sz w:val="32"/>
          <w:szCs w:val="40"/>
          <w:highlight w:val="none"/>
          <w:lang w:val="en-US" w:eastAsia="zh-CN"/>
        </w:rPr>
        <w:t>全省第一方阵；鸽业、肉鸡优势产业</w:t>
      </w:r>
      <w:r>
        <w:rPr>
          <w:rFonts w:hint="eastAsia" w:ascii="Times New Roman" w:hAnsi="Times New Roman" w:eastAsia="方正仿宋简体" w:cs="Times New Roman"/>
          <w:sz w:val="32"/>
          <w:szCs w:val="40"/>
          <w:highlight w:val="none"/>
          <w:lang w:val="en-US" w:eastAsia="zh-CN"/>
        </w:rPr>
        <w:t>提质扩容</w:t>
      </w:r>
      <w:r>
        <w:rPr>
          <w:rFonts w:hint="default" w:ascii="Times New Roman" w:hAnsi="Times New Roman" w:eastAsia="方正仿宋简体" w:cs="Times New Roman"/>
          <w:sz w:val="32"/>
          <w:szCs w:val="40"/>
          <w:highlight w:val="none"/>
          <w:lang w:val="en-US" w:eastAsia="zh-CN"/>
        </w:rPr>
        <w:t>，</w:t>
      </w:r>
      <w:r>
        <w:rPr>
          <w:rFonts w:hint="eastAsia" w:ascii="Times New Roman" w:hAnsi="Times New Roman" w:eastAsia="方正仿宋简体" w:cs="Times New Roman"/>
          <w:sz w:val="32"/>
          <w:szCs w:val="40"/>
          <w:highlight w:val="none"/>
          <w:lang w:val="en-US" w:eastAsia="zh-CN"/>
        </w:rPr>
        <w:t>完成</w:t>
      </w:r>
      <w:r>
        <w:rPr>
          <w:rFonts w:hint="default" w:ascii="Times New Roman" w:hAnsi="Times New Roman" w:eastAsia="方正仿宋简体" w:cs="Times New Roman"/>
          <w:sz w:val="32"/>
          <w:szCs w:val="40"/>
          <w:highlight w:val="none"/>
          <w:lang w:val="en-US" w:eastAsia="zh-CN"/>
        </w:rPr>
        <w:t>“六合鸟”</w:t>
      </w:r>
      <w:r>
        <w:rPr>
          <w:rFonts w:hint="eastAsia" w:ascii="Times New Roman" w:hAnsi="Times New Roman" w:eastAsia="方正仿宋简体" w:cs="Times New Roman"/>
          <w:sz w:val="32"/>
          <w:szCs w:val="40"/>
          <w:highlight w:val="none"/>
          <w:lang w:val="en-US" w:eastAsia="zh-CN"/>
        </w:rPr>
        <w:t>图形</w:t>
      </w:r>
      <w:r>
        <w:rPr>
          <w:rFonts w:hint="default" w:ascii="Times New Roman" w:hAnsi="Times New Roman" w:eastAsia="方正仿宋简体" w:cs="Times New Roman"/>
          <w:sz w:val="32"/>
          <w:szCs w:val="40"/>
          <w:highlight w:val="none"/>
          <w:lang w:val="en-US" w:eastAsia="zh-CN"/>
        </w:rPr>
        <w:t>商标注册</w:t>
      </w:r>
      <w:r>
        <w:rPr>
          <w:rFonts w:hint="eastAsia" w:ascii="Times New Roman" w:hAnsi="Times New Roman" w:eastAsia="方正仿宋简体" w:cs="Times New Roman"/>
          <w:sz w:val="32"/>
          <w:szCs w:val="40"/>
          <w:highlight w:val="none"/>
          <w:lang w:val="en-US" w:eastAsia="zh-CN"/>
        </w:rPr>
        <w:t>申请</w:t>
      </w:r>
      <w:r>
        <w:rPr>
          <w:rFonts w:hint="default" w:ascii="Times New Roman" w:hAnsi="Times New Roman" w:eastAsia="方正仿宋简体" w:cs="Times New Roman"/>
          <w:sz w:val="32"/>
          <w:szCs w:val="40"/>
          <w:highlight w:val="none"/>
          <w:lang w:val="en-US" w:eastAsia="zh-CN"/>
        </w:rPr>
        <w:t>，金牛湖马头山二期、横梁雨花石村鸽养殖基地建成</w:t>
      </w:r>
      <w:r>
        <w:rPr>
          <w:rFonts w:hint="eastAsia" w:ascii="Times New Roman" w:hAnsi="Times New Roman" w:eastAsia="方正仿宋简体" w:cs="Times New Roman"/>
          <w:sz w:val="32"/>
          <w:szCs w:val="40"/>
          <w:highlight w:val="none"/>
          <w:lang w:val="en-US" w:eastAsia="zh-CN"/>
        </w:rPr>
        <w:t>投用</w:t>
      </w:r>
      <w:r>
        <w:rPr>
          <w:rFonts w:hint="default" w:ascii="Times New Roman" w:hAnsi="Times New Roman" w:eastAsia="方正仿宋简体" w:cs="Times New Roman"/>
          <w:sz w:val="32"/>
          <w:szCs w:val="40"/>
          <w:highlight w:val="none"/>
          <w:lang w:val="en-US" w:eastAsia="zh-CN"/>
        </w:rPr>
        <w:t>；文旅</w:t>
      </w:r>
      <w:r>
        <w:rPr>
          <w:rFonts w:hint="eastAsia" w:ascii="Times New Roman" w:hAnsi="Times New Roman" w:eastAsia="方正仿宋简体" w:cs="Times New Roman"/>
          <w:sz w:val="32"/>
          <w:szCs w:val="40"/>
          <w:highlight w:val="none"/>
          <w:lang w:val="en-US" w:eastAsia="zh-CN"/>
        </w:rPr>
        <w:t>市场</w:t>
      </w:r>
      <w:r>
        <w:rPr>
          <w:rFonts w:hint="default" w:ascii="Times New Roman" w:hAnsi="Times New Roman" w:eastAsia="方正仿宋简体" w:cs="Times New Roman"/>
          <w:sz w:val="32"/>
          <w:szCs w:val="40"/>
          <w:highlight w:val="none"/>
          <w:lang w:val="en-US" w:eastAsia="zh-CN"/>
        </w:rPr>
        <w:t>持续升温，</w:t>
      </w:r>
      <w:r>
        <w:rPr>
          <w:rFonts w:hint="eastAsia" w:ascii="Times New Roman" w:hAnsi="Times New Roman" w:eastAsia="方正仿宋简体" w:cs="Times New Roman"/>
          <w:sz w:val="32"/>
          <w:szCs w:val="40"/>
          <w:highlight w:val="none"/>
          <w:lang w:val="en-US" w:eastAsia="zh-CN"/>
        </w:rPr>
        <w:t>成功</w:t>
      </w:r>
      <w:r>
        <w:rPr>
          <w:rFonts w:hint="default" w:ascii="Times New Roman" w:hAnsi="Times New Roman" w:eastAsia="方正仿宋简体" w:cs="Times New Roman"/>
          <w:sz w:val="32"/>
          <w:szCs w:val="32"/>
          <w:lang w:val="en-US" w:eastAsia="zh-CN"/>
        </w:rPr>
        <w:t>举办江苏</w:t>
      </w:r>
      <w:r>
        <w:rPr>
          <w:rFonts w:hint="default" w:ascii="Times New Roman" w:hAnsi="Times New Roman" w:eastAsia="方正仿宋简体" w:cs="Times New Roman"/>
          <w:sz w:val="32"/>
          <w:szCs w:val="32"/>
        </w:rPr>
        <w:t>民歌大</w:t>
      </w:r>
      <w:r>
        <w:rPr>
          <w:rFonts w:hint="default" w:ascii="Times New Roman" w:hAnsi="Times New Roman" w:eastAsia="方正仿宋简体" w:cs="Times New Roman"/>
          <w:sz w:val="32"/>
          <w:szCs w:val="40"/>
          <w:highlight w:val="none"/>
          <w:lang w:val="en-US" w:eastAsia="zh-CN"/>
        </w:rPr>
        <w:t>会暨“村歌嘹亮”</w:t>
      </w:r>
      <w:r>
        <w:rPr>
          <w:rFonts w:hint="default" w:ascii="Times New Roman" w:hAnsi="Times New Roman" w:eastAsia="方正仿宋简体" w:cs="Times New Roman"/>
          <w:sz w:val="32"/>
          <w:szCs w:val="32"/>
        </w:rPr>
        <w:t>展演</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茉莉花民歌文化月</w:t>
      </w:r>
      <w:r>
        <w:rPr>
          <w:rFonts w:hint="eastAsia" w:ascii="Times New Roman" w:hAnsi="Times New Roman" w:eastAsia="方正仿宋简体" w:cs="Times New Roman"/>
          <w:sz w:val="32"/>
          <w:szCs w:val="32"/>
          <w:lang w:val="en-US" w:eastAsia="zh-CN"/>
        </w:rPr>
        <w:t>等</w:t>
      </w:r>
      <w:r>
        <w:rPr>
          <w:rFonts w:hint="default" w:ascii="Times New Roman" w:hAnsi="Times New Roman" w:eastAsia="方正仿宋简体" w:cs="Times New Roman"/>
          <w:sz w:val="32"/>
          <w:szCs w:val="32"/>
          <w:lang w:val="en-US" w:eastAsia="zh-CN"/>
        </w:rPr>
        <w:t>系列活动，推动“茉莉花”文化品牌全民共创、全域共享；</w:t>
      </w:r>
      <w:r>
        <w:rPr>
          <w:rFonts w:hint="default" w:ascii="Times New Roman" w:hAnsi="Times New Roman" w:eastAsia="方正仿宋简体" w:cs="Times New Roman"/>
          <w:sz w:val="32"/>
          <w:szCs w:val="32"/>
        </w:rPr>
        <w:t>“86版西游记走进金牛湖”、金牛湖焰火嘉年华、平山森林公园草坪电音节</w:t>
      </w:r>
      <w:r>
        <w:rPr>
          <w:rFonts w:hint="default" w:ascii="Times New Roman" w:hAnsi="Times New Roman" w:eastAsia="方正仿宋简体" w:cs="Times New Roman"/>
          <w:sz w:val="32"/>
          <w:szCs w:val="40"/>
          <w:highlight w:val="none"/>
          <w:lang w:val="en-US" w:eastAsia="zh-CN"/>
        </w:rPr>
        <w:t>等特色主题活动</w:t>
      </w:r>
      <w:r>
        <w:rPr>
          <w:rFonts w:hint="eastAsia" w:ascii="Times New Roman" w:hAnsi="Times New Roman" w:eastAsia="方正仿宋简体" w:cs="Times New Roman"/>
          <w:sz w:val="32"/>
          <w:szCs w:val="40"/>
          <w:highlight w:val="none"/>
          <w:lang w:val="en-US" w:eastAsia="zh-CN"/>
        </w:rPr>
        <w:t>精彩</w:t>
      </w:r>
      <w:r>
        <w:rPr>
          <w:rFonts w:hint="default" w:ascii="Times New Roman" w:hAnsi="Times New Roman" w:eastAsia="方正仿宋简体" w:cs="Times New Roman"/>
          <w:sz w:val="32"/>
          <w:szCs w:val="40"/>
          <w:highlight w:val="none"/>
          <w:lang w:val="en-US" w:eastAsia="zh-CN"/>
        </w:rPr>
        <w:t>纷呈；全区旅游接待人次、旅游总收入同比均增长12%。</w:t>
      </w:r>
    </w:p>
    <w:p w14:paraId="4AD92FBC">
      <w:pPr>
        <w:keepNext w:val="0"/>
        <w:keepLines w:val="0"/>
        <w:pageBreakBefore w:val="0"/>
        <w:widowControl w:val="0"/>
        <w:kinsoku/>
        <w:wordWrap/>
        <w:topLinePunct w:val="0"/>
        <w:autoSpaceDE/>
        <w:autoSpaceDN/>
        <w:bidi w:val="0"/>
        <w:spacing w:line="560" w:lineRule="exact"/>
        <w:ind w:firstLine="640" w:firstLineChars="200"/>
        <w:textAlignment w:val="auto"/>
        <w:rPr>
          <w:rFonts w:hint="eastAsia" w:ascii="Times New Roman" w:hAnsi="Times New Roman" w:eastAsia="方正楷体简体" w:cs="Times New Roman"/>
          <w:sz w:val="32"/>
          <w:szCs w:val="32"/>
          <w:lang w:val="en-US" w:eastAsia="zh-CN"/>
        </w:rPr>
      </w:pPr>
      <w:r>
        <w:rPr>
          <w:rFonts w:hint="eastAsia" w:ascii="Times New Roman" w:hAnsi="Times New Roman" w:eastAsia="方正楷体简体" w:cs="Times New Roman"/>
          <w:sz w:val="32"/>
          <w:szCs w:val="32"/>
          <w:highlight w:val="none"/>
          <w:lang w:val="en-US" w:eastAsia="zh-CN"/>
        </w:rPr>
        <w:t>2. 改革开放持续深化，发展活力不断释放。</w:t>
      </w:r>
      <w:r>
        <w:rPr>
          <w:rFonts w:hint="eastAsia" w:ascii="Times New Roman" w:hAnsi="Times New Roman" w:eastAsia="方正仿宋简体" w:cs="Times New Roman"/>
          <w:b/>
          <w:bCs/>
          <w:sz w:val="32"/>
          <w:szCs w:val="32"/>
          <w:highlight w:val="none"/>
          <w:lang w:val="en-US" w:eastAsia="zh-CN"/>
        </w:rPr>
        <w:t>重点改革纵深突破。</w:t>
      </w:r>
      <w:r>
        <w:rPr>
          <w:rFonts w:hint="default" w:ascii="Times New Roman" w:hAnsi="Times New Roman" w:eastAsia="方正仿宋简体" w:cs="Times New Roman"/>
          <w:sz w:val="32"/>
          <w:szCs w:val="40"/>
          <w:highlight w:val="none"/>
          <w:lang w:val="en-US" w:eastAsia="zh-CN"/>
        </w:rPr>
        <w:t>稳妥推进国企整合重组，健全国资管理制度，</w:t>
      </w:r>
      <w:r>
        <w:rPr>
          <w:rFonts w:hint="default" w:ascii="Times New Roman" w:hAnsi="Times New Roman" w:eastAsia="方正仿宋简体" w:cs="Times New Roman"/>
          <w:kern w:val="2"/>
          <w:sz w:val="32"/>
          <w:szCs w:val="32"/>
          <w:lang w:val="en-US" w:eastAsia="zh-CN"/>
        </w:rPr>
        <w:t>盘活国有闲置房产1.7万平方米；</w:t>
      </w:r>
      <w:r>
        <w:rPr>
          <w:rFonts w:hint="default" w:ascii="Times New Roman" w:hAnsi="Times New Roman" w:eastAsia="方正仿宋简体" w:cs="Times New Roman"/>
          <w:b w:val="0"/>
          <w:bCs w:val="0"/>
          <w:sz w:val="32"/>
          <w:szCs w:val="32"/>
          <w:lang w:val="en-US" w:eastAsia="zh-CN"/>
        </w:rPr>
        <w:t>全面推进街镇履职事项清单运用执行，持续为基层治理减负赋能；</w:t>
      </w:r>
      <w:r>
        <w:rPr>
          <w:rFonts w:hint="eastAsia" w:ascii="Times New Roman" w:hAnsi="Times New Roman" w:eastAsia="方正仿宋简体" w:cs="Times New Roman"/>
          <w:b w:val="0"/>
          <w:bCs w:val="0"/>
          <w:color w:val="auto"/>
          <w:kern w:val="2"/>
          <w:sz w:val="32"/>
          <w:szCs w:val="40"/>
          <w:u w:val="none"/>
          <w:lang w:val="en-US" w:eastAsia="zh-CN" w:bidi="ar-SA"/>
        </w:rPr>
        <w:t>扎实</w:t>
      </w:r>
      <w:r>
        <w:rPr>
          <w:rFonts w:hint="default" w:ascii="Times New Roman" w:hAnsi="Times New Roman" w:eastAsia="方正仿宋简体" w:cs="Times New Roman"/>
          <w:b w:val="0"/>
          <w:bCs w:val="0"/>
          <w:color w:val="auto"/>
          <w:kern w:val="2"/>
          <w:sz w:val="32"/>
          <w:szCs w:val="40"/>
          <w:u w:val="none"/>
          <w:lang w:val="en-US" w:eastAsia="zh-CN" w:bidi="ar-SA"/>
        </w:rPr>
        <w:t>开展土地二轮延包</w:t>
      </w:r>
      <w:r>
        <w:rPr>
          <w:rFonts w:hint="eastAsia" w:ascii="Times New Roman" w:hAnsi="Times New Roman" w:eastAsia="方正仿宋简体" w:cs="Times New Roman"/>
          <w:b w:val="0"/>
          <w:bCs w:val="0"/>
          <w:color w:val="auto"/>
          <w:kern w:val="2"/>
          <w:sz w:val="32"/>
          <w:szCs w:val="40"/>
          <w:u w:val="none"/>
          <w:lang w:val="en-US" w:eastAsia="zh-CN" w:bidi="ar-SA"/>
        </w:rPr>
        <w:t>工作</w:t>
      </w:r>
      <w:r>
        <w:rPr>
          <w:rFonts w:hint="default" w:ascii="Times New Roman" w:hAnsi="Times New Roman" w:eastAsia="方正仿宋简体" w:cs="Times New Roman"/>
          <w:sz w:val="32"/>
          <w:szCs w:val="40"/>
          <w:highlight w:val="none"/>
          <w:lang w:val="en-US" w:eastAsia="zh-CN"/>
        </w:rPr>
        <w:t>，</w:t>
      </w:r>
      <w:r>
        <w:rPr>
          <w:rFonts w:hint="default" w:ascii="Times New Roman" w:hAnsi="Times New Roman" w:eastAsia="方正仿宋简体" w:cs="Times New Roman"/>
          <w:b w:val="0"/>
          <w:bCs w:val="0"/>
          <w:color w:val="auto"/>
          <w:kern w:val="2"/>
          <w:sz w:val="32"/>
          <w:szCs w:val="40"/>
          <w:u w:val="none"/>
          <w:lang w:val="en-US" w:eastAsia="zh-CN" w:bidi="ar-SA"/>
        </w:rPr>
        <w:t>签订合同11.5万余户；</w:t>
      </w:r>
      <w:r>
        <w:rPr>
          <w:rFonts w:hint="default" w:ascii="Times New Roman" w:hAnsi="Times New Roman" w:eastAsia="方正仿宋简体" w:cs="Times New Roman"/>
          <w:b w:val="0"/>
          <w:bCs w:val="0"/>
          <w:color w:val="auto"/>
          <w:kern w:val="0"/>
          <w:sz w:val="32"/>
          <w:szCs w:val="32"/>
          <w:u w:val="none"/>
          <w:lang w:val="en-US" w:eastAsia="zh-CN" w:bidi="ar-SA"/>
        </w:rPr>
        <w:t>盘活农村集体闲置资产3040平方米；加强医药</w:t>
      </w:r>
      <w:r>
        <w:rPr>
          <w:rFonts w:hint="default" w:ascii="Times New Roman" w:hAnsi="Times New Roman" w:eastAsia="方正仿宋简体" w:cs="Times New Roman"/>
          <w:kern w:val="0"/>
          <w:sz w:val="32"/>
          <w:szCs w:val="32"/>
        </w:rPr>
        <w:t>集中带量采购，区属定点医疗机构节约资</w:t>
      </w:r>
      <w:r>
        <w:rPr>
          <w:rFonts w:hint="default" w:ascii="Times New Roman" w:hAnsi="Times New Roman" w:eastAsia="方正仿宋简体" w:cs="Times New Roman"/>
          <w:color w:val="000000" w:themeColor="text1"/>
          <w:kern w:val="0"/>
          <w:sz w:val="32"/>
          <w:szCs w:val="32"/>
          <w14:textFill>
            <w14:solidFill>
              <w14:schemeClr w14:val="tx1"/>
            </w14:solidFill>
          </w14:textFill>
        </w:rPr>
        <w:t>金</w:t>
      </w:r>
      <w:r>
        <w:rPr>
          <w:rFonts w:hint="eastAsia" w:ascii="Times New Roman" w:hAnsi="Times New Roman" w:eastAsia="方正仿宋简体" w:cs="Times New Roman"/>
          <w:color w:val="000000" w:themeColor="text1"/>
          <w:kern w:val="0"/>
          <w:sz w:val="32"/>
          <w:szCs w:val="32"/>
          <w:lang w:val="en-US" w:eastAsia="zh-CN"/>
          <w14:textFill>
            <w14:solidFill>
              <w14:schemeClr w14:val="tx1"/>
            </w14:solidFill>
          </w14:textFill>
        </w:rPr>
        <w:t>2322.65万</w:t>
      </w:r>
      <w:r>
        <w:rPr>
          <w:rFonts w:hint="default" w:ascii="Times New Roman" w:hAnsi="Times New Roman" w:eastAsia="方正仿宋简体" w:cs="Times New Roman"/>
          <w:color w:val="000000" w:themeColor="text1"/>
          <w:kern w:val="0"/>
          <w:sz w:val="32"/>
          <w:szCs w:val="32"/>
          <w14:textFill>
            <w14:solidFill>
              <w14:schemeClr w14:val="tx1"/>
            </w14:solidFill>
          </w14:textFill>
        </w:rPr>
        <w:t>元</w:t>
      </w:r>
      <w:r>
        <w:rPr>
          <w:rFonts w:hint="default" w:ascii="Times New Roman" w:hAnsi="Times New Roman" w:eastAsia="方正仿宋简体" w:cs="Times New Roman"/>
          <w:color w:val="000000" w:themeColor="text1"/>
          <w:kern w:val="0"/>
          <w:sz w:val="32"/>
          <w:szCs w:val="32"/>
          <w:lang w:eastAsia="zh-CN"/>
          <w14:textFill>
            <w14:solidFill>
              <w14:schemeClr w14:val="tx1"/>
            </w14:solidFill>
          </w14:textFill>
        </w:rPr>
        <w:t>；</w:t>
      </w:r>
      <w:r>
        <w:rPr>
          <w:rFonts w:hint="default" w:ascii="Times New Roman" w:hAnsi="Times New Roman" w:eastAsia="方正仿宋简体" w:cs="Times New Roman"/>
          <w:b w:val="0"/>
          <w:bCs w:val="0"/>
          <w:color w:val="auto"/>
          <w:kern w:val="2"/>
          <w:sz w:val="32"/>
          <w:szCs w:val="40"/>
          <w:u w:val="none"/>
          <w:lang w:val="en-US" w:eastAsia="zh-CN" w:bidi="ar-SA"/>
        </w:rPr>
        <w:t>优化医共体资源下沉模式，依托五大共享中心保障服务同质化，基层</w:t>
      </w:r>
      <w:r>
        <w:rPr>
          <w:rFonts w:hint="eastAsia" w:ascii="Times New Roman" w:hAnsi="Times New Roman" w:eastAsia="方正仿宋简体" w:cs="Times New Roman"/>
          <w:b w:val="0"/>
          <w:bCs w:val="0"/>
          <w:color w:val="auto"/>
          <w:kern w:val="2"/>
          <w:sz w:val="32"/>
          <w:szCs w:val="40"/>
          <w:u w:val="none"/>
          <w:lang w:val="en-US" w:eastAsia="zh-CN" w:bidi="ar-SA"/>
        </w:rPr>
        <w:t>医疗</w:t>
      </w:r>
      <w:r>
        <w:rPr>
          <w:rFonts w:hint="default" w:ascii="Times New Roman" w:hAnsi="Times New Roman" w:eastAsia="方正仿宋简体" w:cs="Times New Roman"/>
          <w:b w:val="0"/>
          <w:bCs w:val="0"/>
          <w:color w:val="auto"/>
          <w:kern w:val="2"/>
          <w:sz w:val="32"/>
          <w:szCs w:val="40"/>
          <w:u w:val="none"/>
          <w:lang w:val="en-US" w:eastAsia="zh-CN" w:bidi="ar-SA"/>
        </w:rPr>
        <w:t>服务能力</w:t>
      </w:r>
      <w:r>
        <w:rPr>
          <w:rFonts w:hint="eastAsia" w:ascii="Times New Roman" w:hAnsi="Times New Roman" w:eastAsia="方正仿宋简体" w:cs="Times New Roman"/>
          <w:b w:val="0"/>
          <w:bCs w:val="0"/>
          <w:color w:val="auto"/>
          <w:kern w:val="2"/>
          <w:sz w:val="32"/>
          <w:szCs w:val="40"/>
          <w:u w:val="none"/>
          <w:lang w:val="en-US" w:eastAsia="zh-CN" w:bidi="ar-SA"/>
        </w:rPr>
        <w:t>持续提升</w:t>
      </w:r>
      <w:r>
        <w:rPr>
          <w:rFonts w:hint="default" w:ascii="Times New Roman" w:hAnsi="Times New Roman" w:eastAsia="方正仿宋简体" w:cs="Times New Roman"/>
          <w:b w:val="0"/>
          <w:bCs w:val="0"/>
          <w:color w:val="auto"/>
          <w:kern w:val="2"/>
          <w:sz w:val="32"/>
          <w:szCs w:val="40"/>
          <w:u w:val="none"/>
          <w:lang w:val="en-US" w:eastAsia="zh-CN" w:bidi="ar-SA"/>
        </w:rPr>
        <w:t>；农场河路成为自然资源部国土空间规划许可制度改革试点启动以来</w:t>
      </w:r>
      <w:r>
        <w:rPr>
          <w:rFonts w:hint="eastAsia" w:ascii="Times New Roman" w:hAnsi="Times New Roman" w:eastAsia="方正仿宋简体" w:cs="Times New Roman"/>
          <w:b w:val="0"/>
          <w:bCs w:val="0"/>
          <w:color w:val="auto"/>
          <w:kern w:val="2"/>
          <w:sz w:val="32"/>
          <w:szCs w:val="40"/>
          <w:u w:val="none"/>
          <w:lang w:val="en-US" w:eastAsia="zh-CN" w:bidi="ar-SA"/>
        </w:rPr>
        <w:t>，</w:t>
      </w:r>
      <w:r>
        <w:rPr>
          <w:rFonts w:hint="default" w:ascii="Times New Roman" w:hAnsi="Times New Roman" w:eastAsia="方正仿宋简体" w:cs="Times New Roman"/>
          <w:b w:val="0"/>
          <w:bCs w:val="0"/>
          <w:color w:val="auto"/>
          <w:kern w:val="2"/>
          <w:sz w:val="32"/>
          <w:szCs w:val="40"/>
          <w:u w:val="none"/>
          <w:lang w:val="en-US" w:eastAsia="zh-CN" w:bidi="ar-SA"/>
        </w:rPr>
        <w:t>全国首个核发规划许可意见的项目；</w:t>
      </w:r>
      <w:r>
        <w:rPr>
          <w:rFonts w:hint="default" w:ascii="Times New Roman" w:hAnsi="Times New Roman" w:eastAsia="方正仿宋简体" w:cs="Times New Roman"/>
          <w:sz w:val="32"/>
          <w:szCs w:val="40"/>
          <w:highlight w:val="none"/>
          <w:lang w:val="en-US" w:eastAsia="zh-CN"/>
        </w:rPr>
        <w:t>积极探索数据赋能土地精准配置新路径，省重大项目国轩五期成为全市首例“数据得地”项目。</w:t>
      </w:r>
      <w:r>
        <w:rPr>
          <w:rFonts w:hint="default" w:ascii="Times New Roman" w:hAnsi="Times New Roman" w:eastAsia="方正仿宋简体" w:cs="Times New Roman"/>
          <w:b/>
          <w:bCs/>
          <w:sz w:val="32"/>
          <w:szCs w:val="32"/>
          <w:highlight w:val="none"/>
          <w:lang w:val="en-US" w:eastAsia="zh-CN"/>
        </w:rPr>
        <w:t>营商环境</w:t>
      </w:r>
      <w:r>
        <w:rPr>
          <w:rFonts w:hint="eastAsia" w:ascii="Times New Roman" w:hAnsi="Times New Roman" w:eastAsia="方正仿宋简体" w:cs="Times New Roman"/>
          <w:b/>
          <w:bCs/>
          <w:sz w:val="32"/>
          <w:szCs w:val="32"/>
          <w:highlight w:val="none"/>
          <w:lang w:val="en-US" w:eastAsia="zh-CN"/>
        </w:rPr>
        <w:t>优化升级</w:t>
      </w:r>
      <w:r>
        <w:rPr>
          <w:rFonts w:hint="default" w:ascii="Times New Roman" w:hAnsi="Times New Roman" w:eastAsia="方正仿宋简体" w:cs="Times New Roman"/>
          <w:b/>
          <w:bCs/>
          <w:sz w:val="32"/>
          <w:szCs w:val="32"/>
          <w:highlight w:val="none"/>
          <w:lang w:val="en-US" w:eastAsia="zh-CN"/>
        </w:rPr>
        <w:t>。</w:t>
      </w:r>
      <w:r>
        <w:rPr>
          <w:rFonts w:hint="default" w:ascii="Times New Roman" w:hAnsi="Times New Roman" w:eastAsia="方正仿宋简体" w:cs="Times New Roman"/>
          <w:spacing w:val="5"/>
          <w:sz w:val="32"/>
          <w:szCs w:val="32"/>
          <w:lang w:eastAsia="zh-CN"/>
        </w:rPr>
        <w:t>常态</w:t>
      </w:r>
      <w:r>
        <w:rPr>
          <w:rFonts w:hint="default" w:ascii="Times New Roman" w:hAnsi="Times New Roman" w:eastAsia="方正仿宋简体" w:cs="Times New Roman"/>
          <w:sz w:val="32"/>
          <w:szCs w:val="40"/>
          <w:lang w:eastAsia="zh-CN"/>
        </w:rPr>
        <w:t>化</w:t>
      </w:r>
      <w:r>
        <w:rPr>
          <w:rFonts w:hint="default" w:ascii="Times New Roman" w:hAnsi="Times New Roman" w:eastAsia="方正仿宋简体" w:cs="Times New Roman"/>
          <w:sz w:val="32"/>
          <w:szCs w:val="40"/>
          <w:lang w:val="en-US" w:eastAsia="zh-CN"/>
        </w:rPr>
        <w:t>开展“将心比心 换位跑流程”，</w:t>
      </w:r>
      <w:r>
        <w:rPr>
          <w:rFonts w:hint="default" w:ascii="Times New Roman" w:hAnsi="Times New Roman" w:eastAsia="方正仿宋简体" w:cs="Times New Roman"/>
          <w:sz w:val="32"/>
          <w:szCs w:val="40"/>
          <w:lang w:eastAsia="zh-CN"/>
        </w:rPr>
        <w:t>成立区企业综合服务中心，构建“164”企业全生命周期服务体系，全覆盖服务1307家重点企业；</w:t>
      </w:r>
      <w:r>
        <w:rPr>
          <w:rFonts w:hint="eastAsia" w:ascii="Times New Roman" w:hAnsi="Times New Roman" w:eastAsia="方正仿宋简体" w:cs="Times New Roman"/>
          <w:sz w:val="32"/>
          <w:szCs w:val="40"/>
          <w:lang w:val="en-US" w:eastAsia="zh-CN"/>
        </w:rPr>
        <w:t>打造</w:t>
      </w:r>
      <w:r>
        <w:rPr>
          <w:rFonts w:hint="default" w:ascii="Times New Roman" w:hAnsi="Times New Roman" w:eastAsia="方正仿宋简体" w:cs="Times New Roman"/>
          <w:sz w:val="32"/>
          <w:szCs w:val="40"/>
          <w:lang w:val="en-US" w:eastAsia="zh-CN"/>
        </w:rPr>
        <w:t>“企呼我应”小程序、企服热线双线诉求归集渠道，出台标准化流转手册，实现企业诉求全流程闭环处</w:t>
      </w:r>
      <w:r>
        <w:rPr>
          <w:rFonts w:hint="default" w:ascii="Times New Roman" w:hAnsi="Times New Roman" w:eastAsia="方正仿宋简体" w:cs="Times New Roman"/>
          <w:spacing w:val="5"/>
          <w:sz w:val="32"/>
          <w:szCs w:val="32"/>
          <w:lang w:val="en-US" w:eastAsia="zh-CN"/>
        </w:rPr>
        <w:t>置；</w:t>
      </w:r>
      <w:r>
        <w:rPr>
          <w:rFonts w:hint="default" w:ascii="Times New Roman" w:hAnsi="Times New Roman" w:eastAsia="方正仿宋简体" w:cs="Times New Roman"/>
          <w:sz w:val="32"/>
          <w:szCs w:val="32"/>
          <w:highlight w:val="none"/>
          <w:lang w:val="en-US" w:eastAsia="zh-CN"/>
        </w:rPr>
        <w:t>深化“合一次”涉企检查服务，</w:t>
      </w:r>
      <w:r>
        <w:rPr>
          <w:rFonts w:hint="default" w:ascii="Times New Roman" w:hAnsi="Times New Roman" w:eastAsia="方正仿宋简体" w:cs="Times New Roman"/>
          <w:sz w:val="32"/>
          <w:szCs w:val="32"/>
          <w:lang w:val="en-US" w:eastAsia="zh-CN"/>
        </w:rPr>
        <w:t>行政检查总量同比下降</w:t>
      </w:r>
      <w:r>
        <w:rPr>
          <w:rFonts w:hint="eastAsia" w:ascii="Times New Roman" w:hAnsi="Times New Roman" w:eastAsia="方正仿宋简体" w:cs="Times New Roman"/>
          <w:sz w:val="32"/>
          <w:szCs w:val="32"/>
          <w:lang w:val="en-US" w:eastAsia="zh-CN"/>
        </w:rPr>
        <w:t>39.08</w:t>
      </w:r>
      <w:r>
        <w:rPr>
          <w:rFonts w:hint="default" w:ascii="Times New Roman" w:hAnsi="Times New Roman" w:eastAsia="方正仿宋简体" w:cs="Times New Roman"/>
          <w:sz w:val="32"/>
          <w:szCs w:val="32"/>
          <w:lang w:val="en-US" w:eastAsia="zh-CN"/>
        </w:rPr>
        <w:t>%；</w:t>
      </w:r>
      <w:r>
        <w:rPr>
          <w:rFonts w:hint="eastAsia" w:ascii="Times New Roman" w:hAnsi="Times New Roman" w:eastAsia="方正仿宋简体" w:cs="Times New Roman"/>
          <w:sz w:val="32"/>
          <w:szCs w:val="32"/>
          <w:lang w:val="en-US" w:eastAsia="zh-CN"/>
        </w:rPr>
        <w:t>新增14</w:t>
      </w:r>
      <w:r>
        <w:rPr>
          <w:rFonts w:hint="default" w:ascii="Times New Roman" w:hAnsi="Times New Roman" w:eastAsia="方正仿宋简体" w:cs="Times New Roman"/>
          <w:sz w:val="32"/>
          <w:szCs w:val="40"/>
        </w:rPr>
        <w:t>家工业企业</w:t>
      </w:r>
      <w:r>
        <w:rPr>
          <w:rFonts w:hint="eastAsia" w:ascii="Times New Roman" w:hAnsi="Times New Roman" w:eastAsia="方正仿宋简体" w:cs="Times New Roman"/>
          <w:sz w:val="32"/>
          <w:szCs w:val="40"/>
          <w:lang w:val="en-US" w:eastAsia="zh-CN"/>
        </w:rPr>
        <w:t>纳入</w:t>
      </w:r>
      <w:r>
        <w:rPr>
          <w:rFonts w:hint="default" w:ascii="Times New Roman" w:hAnsi="Times New Roman" w:eastAsia="方正仿宋简体" w:cs="Times New Roman"/>
          <w:sz w:val="32"/>
          <w:szCs w:val="40"/>
        </w:rPr>
        <w:t>AEO制度试点，中低风险事项大幅压减检查频次</w:t>
      </w:r>
      <w:r>
        <w:rPr>
          <w:rFonts w:hint="default" w:ascii="Times New Roman" w:hAnsi="Times New Roman" w:eastAsia="方正仿宋简体" w:cs="Times New Roman"/>
          <w:sz w:val="32"/>
          <w:szCs w:val="40"/>
          <w:lang w:eastAsia="zh-CN"/>
        </w:rPr>
        <w:t>；</w:t>
      </w:r>
      <w:r>
        <w:rPr>
          <w:rFonts w:hint="default" w:ascii="Times New Roman" w:hAnsi="Times New Roman" w:eastAsia="方正仿宋简体" w:cs="Times New Roman"/>
          <w:sz w:val="32"/>
          <w:szCs w:val="32"/>
          <w:lang w:val="en-US" w:eastAsia="zh-CN"/>
        </w:rPr>
        <w:t>创新打造“大数据+专家问诊”知识产权公共服务应用场景</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知识产权质押融资1.83亿元；</w:t>
      </w:r>
      <w:r>
        <w:rPr>
          <w:rFonts w:hint="default" w:ascii="Times New Roman" w:hAnsi="Times New Roman" w:eastAsia="方正仿宋简体" w:cs="Times New Roman"/>
          <w:b w:val="0"/>
          <w:bCs w:val="0"/>
          <w:spacing w:val="5"/>
          <w:sz w:val="32"/>
          <w:szCs w:val="32"/>
          <w:lang w:eastAsia="zh-CN"/>
        </w:rPr>
        <w:t>优化</w:t>
      </w:r>
      <w:r>
        <w:rPr>
          <w:rFonts w:hint="default" w:ascii="Times New Roman" w:hAnsi="Times New Roman" w:eastAsia="方正仿宋简体" w:cs="Times New Roman"/>
          <w:b w:val="0"/>
          <w:bCs w:val="0"/>
          <w:spacing w:val="5"/>
          <w:sz w:val="32"/>
          <w:szCs w:val="32"/>
        </w:rPr>
        <w:t>56个</w:t>
      </w:r>
      <w:r>
        <w:rPr>
          <w:rFonts w:hint="default" w:ascii="Times New Roman" w:hAnsi="Times New Roman" w:eastAsia="方正仿宋简体" w:cs="Times New Roman"/>
          <w:b w:val="0"/>
          <w:bCs w:val="0"/>
          <w:spacing w:val="5"/>
          <w:sz w:val="32"/>
          <w:szCs w:val="32"/>
          <w:lang w:eastAsia="zh-CN"/>
        </w:rPr>
        <w:t>“高效办成一件事”重点</w:t>
      </w:r>
      <w:r>
        <w:rPr>
          <w:rFonts w:hint="default" w:ascii="Times New Roman" w:hAnsi="Times New Roman" w:eastAsia="方正仿宋简体" w:cs="Times New Roman"/>
          <w:b w:val="0"/>
          <w:bCs w:val="0"/>
          <w:spacing w:val="5"/>
          <w:sz w:val="32"/>
          <w:szCs w:val="32"/>
        </w:rPr>
        <w:t>事项线下</w:t>
      </w:r>
      <w:r>
        <w:rPr>
          <w:rFonts w:hint="default" w:ascii="Times New Roman" w:hAnsi="Times New Roman" w:eastAsia="方正仿宋简体" w:cs="Times New Roman"/>
          <w:b w:val="0"/>
          <w:bCs w:val="0"/>
          <w:spacing w:val="5"/>
          <w:sz w:val="32"/>
          <w:szCs w:val="32"/>
          <w:lang w:eastAsia="zh-CN"/>
        </w:rPr>
        <w:t>服务</w:t>
      </w:r>
      <w:r>
        <w:rPr>
          <w:rFonts w:hint="default" w:ascii="Times New Roman" w:hAnsi="Times New Roman" w:eastAsia="方正仿宋简体" w:cs="Times New Roman"/>
          <w:b w:val="0"/>
          <w:bCs w:val="0"/>
          <w:spacing w:val="5"/>
          <w:sz w:val="32"/>
          <w:szCs w:val="32"/>
        </w:rPr>
        <w:t>窗口</w:t>
      </w:r>
      <w:r>
        <w:rPr>
          <w:rFonts w:hint="eastAsia" w:ascii="Times New Roman" w:hAnsi="Times New Roman" w:eastAsia="方正仿宋简体" w:cs="Times New Roman"/>
          <w:b w:val="0"/>
          <w:bCs w:val="0"/>
          <w:spacing w:val="5"/>
          <w:sz w:val="32"/>
          <w:szCs w:val="32"/>
          <w:lang w:eastAsia="zh-CN"/>
        </w:rPr>
        <w:t>，</w:t>
      </w:r>
      <w:r>
        <w:rPr>
          <w:rFonts w:hint="default" w:ascii="Times New Roman" w:hAnsi="Times New Roman" w:eastAsia="方正仿宋简体" w:cs="Times New Roman"/>
          <w:sz w:val="32"/>
          <w:szCs w:val="40"/>
          <w:highlight w:val="none"/>
          <w:lang w:val="en-US" w:eastAsia="zh-CN"/>
        </w:rPr>
        <w:t>持续深化“一件事一次办”，网上开办比例</w:t>
      </w:r>
      <w:r>
        <w:rPr>
          <w:rFonts w:hint="eastAsia" w:ascii="Times New Roman" w:hAnsi="Times New Roman" w:eastAsia="方正仿宋简体" w:cs="Times New Roman"/>
          <w:sz w:val="32"/>
          <w:szCs w:val="40"/>
          <w:highlight w:val="none"/>
          <w:lang w:val="en-US" w:eastAsia="zh-CN"/>
        </w:rPr>
        <w:t>超</w:t>
      </w:r>
      <w:r>
        <w:rPr>
          <w:rFonts w:hint="default" w:ascii="Times New Roman" w:hAnsi="Times New Roman" w:eastAsia="方正仿宋简体" w:cs="Times New Roman"/>
          <w:sz w:val="32"/>
          <w:szCs w:val="40"/>
          <w:highlight w:val="none"/>
          <w:lang w:val="en-US" w:eastAsia="zh-CN"/>
        </w:rPr>
        <w:t>71%，政务服务便利度持续提升。</w:t>
      </w:r>
      <w:r>
        <w:rPr>
          <w:rFonts w:hint="default" w:ascii="Times New Roman" w:hAnsi="Times New Roman" w:eastAsia="方正仿宋简体" w:cs="Times New Roman"/>
          <w:b/>
          <w:bCs/>
          <w:sz w:val="32"/>
          <w:szCs w:val="32"/>
          <w:highlight w:val="none"/>
          <w:lang w:val="en-US" w:eastAsia="zh-CN"/>
        </w:rPr>
        <w:t>内外循环</w:t>
      </w:r>
      <w:r>
        <w:rPr>
          <w:rFonts w:hint="eastAsia" w:ascii="Times New Roman" w:hAnsi="Times New Roman" w:eastAsia="方正仿宋简体" w:cs="Times New Roman"/>
          <w:b/>
          <w:bCs/>
          <w:sz w:val="32"/>
          <w:szCs w:val="32"/>
          <w:highlight w:val="none"/>
          <w:lang w:val="en-US" w:eastAsia="zh-CN"/>
        </w:rPr>
        <w:t>畅通提质</w:t>
      </w:r>
      <w:r>
        <w:rPr>
          <w:rFonts w:hint="default" w:ascii="Times New Roman" w:hAnsi="Times New Roman" w:eastAsia="方正仿宋简体" w:cs="Times New Roman"/>
          <w:b/>
          <w:bCs/>
          <w:sz w:val="32"/>
          <w:szCs w:val="32"/>
          <w:highlight w:val="none"/>
          <w:lang w:val="en-US" w:eastAsia="zh-CN"/>
        </w:rPr>
        <w:t>。</w:t>
      </w:r>
      <w:r>
        <w:rPr>
          <w:rFonts w:hint="default" w:ascii="Times New Roman" w:hAnsi="Times New Roman" w:eastAsia="方正仿宋简体" w:cs="Times New Roman"/>
          <w:kern w:val="2"/>
          <w:sz w:val="32"/>
          <w:szCs w:val="32"/>
          <w:highlight w:val="none"/>
          <w:lang w:val="en-US" w:eastAsia="zh-CN" w:bidi="ar-SA"/>
        </w:rPr>
        <w:t>将“以一体协同联动打造江北‘空铁智造走廊’”作为全区2026年“一区一特色”改革任务，系统谋划“一体化”发展协同先行示范区（</w:t>
      </w:r>
      <w:r>
        <w:rPr>
          <w:rFonts w:hint="eastAsia" w:ascii="方正楷体简体" w:hAnsi="方正楷体简体" w:eastAsia="方正楷体简体" w:cs="方正楷体简体"/>
          <w:kern w:val="2"/>
          <w:sz w:val="32"/>
          <w:szCs w:val="32"/>
          <w:highlight w:val="none"/>
          <w:lang w:val="en-US" w:eastAsia="zh-CN" w:bidi="ar-SA"/>
        </w:rPr>
        <w:t>李姚片区</w:t>
      </w:r>
      <w:r>
        <w:rPr>
          <w:rFonts w:hint="default" w:ascii="Times New Roman" w:hAnsi="Times New Roman" w:eastAsia="方正仿宋简体" w:cs="Times New Roman"/>
          <w:kern w:val="2"/>
          <w:sz w:val="32"/>
          <w:szCs w:val="32"/>
          <w:highlight w:val="none"/>
          <w:lang w:val="en-US" w:eastAsia="zh-CN" w:bidi="ar-SA"/>
        </w:rPr>
        <w:t>），深化规划方案研究、完善推进路径；全面启动“空铁智造走廊”六合先导区（</w:t>
      </w:r>
      <w:r>
        <w:rPr>
          <w:rFonts w:hint="default" w:ascii="方正楷体简体" w:hAnsi="方正楷体简体" w:eastAsia="方正楷体简体" w:cs="方正楷体简体"/>
          <w:kern w:val="2"/>
          <w:sz w:val="32"/>
          <w:szCs w:val="32"/>
          <w:highlight w:val="none"/>
          <w:lang w:val="en-US" w:eastAsia="zh-CN" w:bidi="ar-SA"/>
        </w:rPr>
        <w:t>西站枢纽经济区</w:t>
      </w:r>
      <w:r>
        <w:rPr>
          <w:rFonts w:hint="default" w:ascii="Times New Roman" w:hAnsi="Times New Roman" w:eastAsia="方正仿宋简体" w:cs="Times New Roman"/>
          <w:kern w:val="2"/>
          <w:sz w:val="32"/>
          <w:szCs w:val="32"/>
          <w:highlight w:val="none"/>
          <w:lang w:val="en-US" w:eastAsia="zh-CN" w:bidi="ar-SA"/>
        </w:rPr>
        <w:t>）建设，控制性详细规划获市政府批复，六合西站综合客运枢纽广场、机场快速路等重点项目加快推进；</w:t>
      </w:r>
      <w:r>
        <w:rPr>
          <w:rFonts w:hint="default" w:ascii="Times New Roman" w:hAnsi="Times New Roman" w:eastAsia="方正仿宋简体" w:cs="Times New Roman"/>
          <w:sz w:val="32"/>
          <w:szCs w:val="40"/>
          <w:highlight w:val="none"/>
          <w:lang w:val="en-US" w:eastAsia="zh-CN"/>
        </w:rPr>
        <w:t>与江北新区共同编制《空铁智造走廊空间规划》</w:t>
      </w:r>
      <w:r>
        <w:rPr>
          <w:rFonts w:hint="eastAsia" w:ascii="Times New Roman" w:hAnsi="Times New Roman" w:eastAsia="方正仿宋简体" w:cs="Times New Roman"/>
          <w:sz w:val="32"/>
          <w:szCs w:val="40"/>
          <w:highlight w:val="none"/>
          <w:lang w:val="en-US" w:eastAsia="zh-CN"/>
        </w:rPr>
        <w:t>，</w:t>
      </w:r>
      <w:r>
        <w:rPr>
          <w:rFonts w:hint="default" w:ascii="Times New Roman" w:hAnsi="Times New Roman" w:eastAsia="方正仿宋简体" w:cs="Times New Roman"/>
          <w:sz w:val="32"/>
          <w:szCs w:val="40"/>
          <w:highlight w:val="none"/>
          <w:lang w:val="en-US" w:eastAsia="zh-CN"/>
        </w:rPr>
        <w:t>形成完整成果</w:t>
      </w:r>
      <w:r>
        <w:rPr>
          <w:rFonts w:hint="eastAsia" w:ascii="Times New Roman" w:hAnsi="Times New Roman" w:eastAsia="方正仿宋简体" w:cs="Times New Roman"/>
          <w:sz w:val="32"/>
          <w:szCs w:val="40"/>
          <w:highlight w:val="none"/>
          <w:lang w:val="en-US" w:eastAsia="zh-CN"/>
        </w:rPr>
        <w:t>；</w:t>
      </w:r>
      <w:r>
        <w:rPr>
          <w:rFonts w:hint="default" w:ascii="Times New Roman" w:hAnsi="Times New Roman" w:eastAsia="方正仿宋简体" w:cs="Times New Roman"/>
          <w:sz w:val="32"/>
          <w:szCs w:val="40"/>
          <w:highlight w:val="none"/>
          <w:lang w:val="en-US" w:eastAsia="zh-CN"/>
        </w:rPr>
        <w:t>将空铁智造走廊、浦六快速路、殷庄货运枢纽等重大事项纳入市级、江北新区、六合区“十五五”规划，并将马鞍机场军民合用相关事项纳入省《“十五五”民航发展规划》；</w:t>
      </w:r>
      <w:r>
        <w:rPr>
          <w:rFonts w:hint="default" w:ascii="Times New Roman" w:hAnsi="Times New Roman" w:eastAsia="方正仿宋简体" w:cs="Times New Roman"/>
          <w:b w:val="0"/>
          <w:bCs w:val="0"/>
          <w:color w:val="000000" w:themeColor="text1"/>
          <w:sz w:val="32"/>
          <w:szCs w:val="32"/>
          <w:vertAlign w:val="baseline"/>
          <w:lang w:val="en-US" w:eastAsia="zh-CN"/>
          <w14:textFill>
            <w14:solidFill>
              <w14:schemeClr w14:val="tx1"/>
            </w14:solidFill>
          </w14:textFill>
        </w:rPr>
        <w:t>推进“空铁智造走廊”“空天创造走廊”建设</w:t>
      </w:r>
      <w:r>
        <w:rPr>
          <w:rFonts w:hint="default" w:ascii="Times New Roman" w:hAnsi="Times New Roman" w:eastAsia="方正仿宋简体" w:cs="Times New Roman"/>
          <w:sz w:val="32"/>
          <w:szCs w:val="40"/>
          <w:highlight w:val="none"/>
          <w:lang w:val="en-US" w:eastAsia="zh-CN"/>
        </w:rPr>
        <w:t>、支持六合经开区新能源汽车动力总成中小企业特色产业集群发展等12条纳入市重点支持事项；策划“寻味棠城”地标美食邀请赛、“茉莉嗨购 和美龙池”消费嘉年华、六合大集等系列活动，新增首店</w:t>
      </w:r>
      <w:r>
        <w:rPr>
          <w:rFonts w:hint="eastAsia" w:ascii="Times New Roman" w:hAnsi="Times New Roman" w:eastAsia="方正仿宋简体" w:cs="Times New Roman"/>
          <w:sz w:val="32"/>
          <w:szCs w:val="40"/>
          <w:highlight w:val="none"/>
          <w:lang w:val="en-US" w:eastAsia="zh-CN"/>
        </w:rPr>
        <w:t>24</w:t>
      </w:r>
      <w:r>
        <w:rPr>
          <w:rFonts w:hint="default" w:ascii="Times New Roman" w:hAnsi="Times New Roman" w:eastAsia="方正仿宋简体" w:cs="Times New Roman"/>
          <w:sz w:val="32"/>
          <w:szCs w:val="40"/>
          <w:highlight w:val="none"/>
          <w:lang w:val="en-US" w:eastAsia="zh-CN"/>
        </w:rPr>
        <w:t>家</w:t>
      </w:r>
      <w:r>
        <w:rPr>
          <w:rFonts w:hint="eastAsia" w:ascii="Times New Roman" w:hAnsi="Times New Roman" w:eastAsia="方正仿宋简体" w:cs="Times New Roman"/>
          <w:sz w:val="32"/>
          <w:szCs w:val="40"/>
          <w:highlight w:val="none"/>
          <w:lang w:val="en-US" w:eastAsia="zh-CN"/>
        </w:rPr>
        <w:t>，</w:t>
      </w:r>
      <w:r>
        <w:rPr>
          <w:rFonts w:hint="default" w:ascii="Times New Roman" w:hAnsi="Times New Roman" w:eastAsia="方正仿宋简体" w:cs="Times New Roman"/>
          <w:sz w:val="32"/>
          <w:szCs w:val="40"/>
          <w:highlight w:val="none"/>
          <w:lang w:val="en-US" w:eastAsia="zh-CN"/>
        </w:rPr>
        <w:t>持续释放消费潜力；出台汽车</w:t>
      </w:r>
      <w:r>
        <w:rPr>
          <w:rFonts w:hint="eastAsia" w:ascii="Times New Roman" w:hAnsi="Times New Roman" w:eastAsia="方正仿宋简体" w:cs="Times New Roman"/>
          <w:sz w:val="32"/>
          <w:szCs w:val="40"/>
          <w:highlight w:val="none"/>
          <w:lang w:val="en-US" w:eastAsia="zh-CN"/>
        </w:rPr>
        <w:t>购</w:t>
      </w:r>
      <w:r>
        <w:rPr>
          <w:rFonts w:hint="default" w:ascii="Times New Roman" w:hAnsi="Times New Roman" w:eastAsia="方正仿宋简体" w:cs="Times New Roman"/>
          <w:sz w:val="32"/>
          <w:szCs w:val="40"/>
          <w:highlight w:val="none"/>
          <w:lang w:val="en-US" w:eastAsia="zh-CN"/>
        </w:rPr>
        <w:t>新专项补贴，</w:t>
      </w:r>
      <w:r>
        <w:rPr>
          <w:rFonts w:hint="default" w:ascii="Times New Roman" w:hAnsi="Times New Roman" w:eastAsia="方正仿宋简体" w:cs="Times New Roman"/>
          <w:sz w:val="32"/>
          <w:szCs w:val="32"/>
          <w:lang w:val="en-US" w:eastAsia="zh-CN"/>
        </w:rPr>
        <w:t>重点对接滁州、天长等毗邻地市，</w:t>
      </w:r>
      <w:r>
        <w:rPr>
          <w:rFonts w:hint="eastAsia" w:ascii="Times New Roman" w:hAnsi="Times New Roman" w:eastAsia="方正仿宋简体" w:cs="Times New Roman"/>
          <w:sz w:val="32"/>
          <w:szCs w:val="32"/>
          <w:lang w:val="en-US" w:eastAsia="zh-CN"/>
        </w:rPr>
        <w:t>实行</w:t>
      </w:r>
      <w:r>
        <w:rPr>
          <w:rFonts w:hint="default" w:ascii="Times New Roman" w:hAnsi="Times New Roman" w:eastAsia="方正仿宋简体" w:cs="Times New Roman"/>
          <w:sz w:val="32"/>
          <w:szCs w:val="32"/>
          <w:lang w:val="en-US" w:eastAsia="zh-CN"/>
        </w:rPr>
        <w:t>同城补贴</w:t>
      </w:r>
      <w:r>
        <w:rPr>
          <w:rFonts w:hint="eastAsia" w:ascii="Times New Roman" w:hAnsi="Times New Roman" w:eastAsia="方正仿宋简体" w:cs="Times New Roman"/>
          <w:sz w:val="32"/>
          <w:szCs w:val="32"/>
          <w:lang w:val="en-US" w:eastAsia="zh-CN"/>
        </w:rPr>
        <w:t>政策，</w:t>
      </w:r>
      <w:r>
        <w:rPr>
          <w:rFonts w:hint="default" w:ascii="Times New Roman" w:hAnsi="Times New Roman" w:eastAsia="方正仿宋简体" w:cs="Times New Roman"/>
          <w:sz w:val="32"/>
          <w:szCs w:val="32"/>
          <w:lang w:val="en-US" w:eastAsia="zh-CN"/>
        </w:rPr>
        <w:t>跨区域消费联动持续深化；</w:t>
      </w:r>
      <w:r>
        <w:rPr>
          <w:rFonts w:hint="default" w:ascii="Times New Roman" w:hAnsi="Times New Roman" w:eastAsia="方正仿宋简体" w:cs="Times New Roman"/>
          <w:sz w:val="32"/>
          <w:szCs w:val="40"/>
          <w:highlight w:val="none"/>
          <w:lang w:val="en-US" w:eastAsia="zh-CN"/>
        </w:rPr>
        <w:t>组织企业参加第139届广交会，达成意向订单</w:t>
      </w:r>
      <w:r>
        <w:rPr>
          <w:rFonts w:hint="eastAsia" w:ascii="Times New Roman" w:hAnsi="Times New Roman" w:eastAsia="方正仿宋简体" w:cs="Times New Roman"/>
          <w:sz w:val="32"/>
          <w:szCs w:val="40"/>
          <w:highlight w:val="none"/>
          <w:lang w:val="en-US" w:eastAsia="zh-CN"/>
        </w:rPr>
        <w:t>近</w:t>
      </w:r>
      <w:r>
        <w:rPr>
          <w:rFonts w:hint="default" w:ascii="Times New Roman" w:hAnsi="Times New Roman" w:eastAsia="方正仿宋简体" w:cs="Times New Roman"/>
          <w:sz w:val="32"/>
          <w:szCs w:val="40"/>
          <w:highlight w:val="none"/>
          <w:lang w:val="en-US" w:eastAsia="zh-CN"/>
        </w:rPr>
        <w:t>亿元；建成跨境数智赋能中心，打造“跨境电商+纺织服装产业带”</w:t>
      </w:r>
      <w:r>
        <w:rPr>
          <w:rFonts w:hint="eastAsia" w:ascii="Times New Roman" w:hAnsi="Times New Roman" w:eastAsia="方正仿宋简体" w:cs="Times New Roman"/>
          <w:sz w:val="32"/>
          <w:szCs w:val="40"/>
          <w:highlight w:val="none"/>
          <w:lang w:val="en-US" w:eastAsia="zh-CN"/>
        </w:rPr>
        <w:t>发展</w:t>
      </w:r>
      <w:r>
        <w:rPr>
          <w:rFonts w:hint="default" w:ascii="Times New Roman" w:hAnsi="Times New Roman" w:eastAsia="方正仿宋简体" w:cs="Times New Roman"/>
          <w:sz w:val="32"/>
          <w:szCs w:val="40"/>
          <w:highlight w:val="none"/>
          <w:lang w:val="en-US" w:eastAsia="zh-CN"/>
        </w:rPr>
        <w:t>模式；实体企业完成跨境电商交易额8500万元，较去年同期增长超10倍；大量数控获市级外资研发中心认定，实现全区零的突破</w:t>
      </w:r>
      <w:r>
        <w:rPr>
          <w:rFonts w:hint="eastAsia" w:ascii="Times New Roman" w:hAnsi="Times New Roman" w:eastAsia="方正仿宋简体" w:cs="Times New Roman"/>
          <w:sz w:val="32"/>
          <w:szCs w:val="40"/>
          <w:highlight w:val="none"/>
          <w:lang w:val="en-US" w:eastAsia="zh-CN"/>
        </w:rPr>
        <w:t>。</w:t>
      </w:r>
    </w:p>
    <w:p w14:paraId="3F129B62">
      <w:pPr>
        <w:keepNext w:val="0"/>
        <w:keepLines w:val="0"/>
        <w:pageBreakBefore w:val="0"/>
        <w:widowControl w:val="0"/>
        <w:kinsoku/>
        <w:wordWrap/>
        <w:topLinePunct w:val="0"/>
        <w:autoSpaceDE/>
        <w:autoSpaceDN/>
        <w:bidi w:val="0"/>
        <w:spacing w:line="560" w:lineRule="exact"/>
        <w:ind w:firstLine="640" w:firstLineChars="200"/>
        <w:textAlignment w:val="auto"/>
        <w:rPr>
          <w:rFonts w:hint="eastAsia" w:ascii="Times New Roman" w:hAnsi="Times New Roman" w:eastAsia="方正楷体简体" w:cs="Times New Roman"/>
          <w:sz w:val="32"/>
          <w:szCs w:val="32"/>
          <w:lang w:val="en-US" w:eastAsia="zh-CN"/>
        </w:rPr>
      </w:pPr>
      <w:r>
        <w:rPr>
          <w:rFonts w:hint="eastAsia" w:ascii="Times New Roman" w:hAnsi="Times New Roman" w:eastAsia="方正楷体简体" w:cs="Times New Roman"/>
          <w:sz w:val="32"/>
          <w:szCs w:val="32"/>
          <w:highlight w:val="none"/>
          <w:lang w:val="en-US" w:eastAsia="zh-CN"/>
        </w:rPr>
        <w:t>3. 城乡建设协同发力，宜居品质稳步提升。</w:t>
      </w:r>
      <w:r>
        <w:rPr>
          <w:rFonts w:hint="default" w:ascii="Times New Roman" w:hAnsi="Times New Roman" w:eastAsia="方正仿宋简体" w:cs="Times New Roman"/>
          <w:b/>
          <w:bCs/>
          <w:sz w:val="32"/>
          <w:szCs w:val="32"/>
          <w:highlight w:val="none"/>
          <w:lang w:val="en-US" w:eastAsia="zh-CN"/>
        </w:rPr>
        <w:t>基础</w:t>
      </w:r>
      <w:r>
        <w:rPr>
          <w:rFonts w:hint="eastAsia" w:ascii="Times New Roman" w:hAnsi="Times New Roman" w:eastAsia="方正仿宋简体" w:cs="Times New Roman"/>
          <w:b/>
          <w:bCs/>
          <w:sz w:val="32"/>
          <w:szCs w:val="32"/>
          <w:highlight w:val="none"/>
          <w:lang w:val="en-US" w:eastAsia="zh-CN"/>
        </w:rPr>
        <w:t>工程</w:t>
      </w:r>
      <w:r>
        <w:rPr>
          <w:rFonts w:hint="default" w:ascii="Times New Roman" w:hAnsi="Times New Roman" w:eastAsia="方正仿宋简体" w:cs="Times New Roman"/>
          <w:b/>
          <w:bCs/>
          <w:sz w:val="32"/>
          <w:szCs w:val="32"/>
          <w:highlight w:val="none"/>
          <w:lang w:val="en-US" w:eastAsia="zh-CN"/>
        </w:rPr>
        <w:t>提速</w:t>
      </w:r>
      <w:r>
        <w:rPr>
          <w:rFonts w:hint="eastAsia" w:ascii="Times New Roman" w:hAnsi="Times New Roman" w:eastAsia="方正仿宋简体" w:cs="Times New Roman"/>
          <w:b/>
          <w:bCs/>
          <w:sz w:val="32"/>
          <w:szCs w:val="32"/>
          <w:highlight w:val="none"/>
          <w:lang w:val="en-US" w:eastAsia="zh-CN"/>
        </w:rPr>
        <w:t>推进</w:t>
      </w:r>
      <w:r>
        <w:rPr>
          <w:rFonts w:hint="default" w:ascii="Times New Roman" w:hAnsi="Times New Roman" w:eastAsia="方正仿宋简体" w:cs="Times New Roman"/>
          <w:b/>
          <w:bCs/>
          <w:sz w:val="32"/>
          <w:szCs w:val="32"/>
          <w:highlight w:val="none"/>
          <w:lang w:val="en-US" w:eastAsia="zh-CN"/>
        </w:rPr>
        <w:t>。</w:t>
      </w:r>
      <w:r>
        <w:rPr>
          <w:rFonts w:hint="default" w:ascii="Times New Roman" w:hAnsi="Times New Roman" w:eastAsia="方正仿宋简体" w:cs="Times New Roman"/>
          <w:sz w:val="32"/>
          <w:szCs w:val="40"/>
          <w:highlight w:val="none"/>
          <w:lang w:val="en-US" w:eastAsia="zh-CN"/>
        </w:rPr>
        <w:t>宁滁高速建成通车；宁盐高速关键节点基本建成；北沿江高铁、宁淮城际架梁进度超85%；328国道灵岩互通段工程量过半；501省道进入路面施工阶段，8月全</w:t>
      </w:r>
      <w:r>
        <w:rPr>
          <w:rFonts w:hint="eastAsia" w:ascii="Times New Roman" w:hAnsi="Times New Roman" w:eastAsia="方正仿宋简体" w:cs="Times New Roman"/>
          <w:sz w:val="32"/>
          <w:szCs w:val="40"/>
          <w:highlight w:val="none"/>
          <w:lang w:val="en-US" w:eastAsia="zh-CN"/>
        </w:rPr>
        <w:t>面</w:t>
      </w:r>
      <w:r>
        <w:rPr>
          <w:rFonts w:hint="default" w:ascii="Times New Roman" w:hAnsi="Times New Roman" w:eastAsia="方正仿宋简体" w:cs="Times New Roman"/>
          <w:sz w:val="32"/>
          <w:szCs w:val="40"/>
          <w:highlight w:val="none"/>
          <w:lang w:val="en-US" w:eastAsia="zh-CN"/>
        </w:rPr>
        <w:t>通车；</w:t>
      </w:r>
      <w:r>
        <w:rPr>
          <w:rFonts w:hint="eastAsia" w:ascii="Times New Roman" w:hAnsi="Times New Roman" w:eastAsia="方正仿宋简体" w:cs="Times New Roman"/>
          <w:sz w:val="32"/>
          <w:szCs w:val="40"/>
          <w:highlight w:val="none"/>
          <w:lang w:val="en-US" w:eastAsia="zh-CN"/>
        </w:rPr>
        <w:t>24</w:t>
      </w:r>
      <w:r>
        <w:rPr>
          <w:rFonts w:hint="default" w:ascii="Times New Roman" w:hAnsi="Times New Roman" w:eastAsia="方正仿宋简体" w:cs="Times New Roman"/>
          <w:sz w:val="32"/>
          <w:szCs w:val="40"/>
          <w:highlight w:val="none"/>
          <w:lang w:val="en-US" w:eastAsia="zh-CN"/>
        </w:rPr>
        <w:t>7省道完成施工图设计批复，并纳入省厅“两线一路”项目</w:t>
      </w:r>
      <w:r>
        <w:rPr>
          <w:rFonts w:hint="eastAsia" w:ascii="Times New Roman" w:hAnsi="Times New Roman" w:eastAsia="方正仿宋简体" w:cs="Times New Roman"/>
          <w:sz w:val="32"/>
          <w:szCs w:val="40"/>
          <w:highlight w:val="none"/>
          <w:lang w:val="en-US" w:eastAsia="zh-CN"/>
        </w:rPr>
        <w:t>库；</w:t>
      </w:r>
      <w:r>
        <w:rPr>
          <w:rFonts w:hint="default" w:ascii="Times New Roman" w:hAnsi="Times New Roman" w:eastAsia="方正仿宋简体" w:cs="Times New Roman"/>
          <w:sz w:val="32"/>
          <w:szCs w:val="40"/>
          <w:highlight w:val="none"/>
          <w:lang w:val="en-US" w:eastAsia="zh-CN"/>
        </w:rPr>
        <w:t>机场大道涉铁下穿工程开展桩基施工</w:t>
      </w:r>
      <w:r>
        <w:rPr>
          <w:rFonts w:hint="eastAsia" w:ascii="Times New Roman" w:hAnsi="Times New Roman" w:eastAsia="方正仿宋简体" w:cs="Times New Roman"/>
          <w:sz w:val="32"/>
          <w:szCs w:val="40"/>
          <w:highlight w:val="none"/>
          <w:lang w:val="en-US" w:eastAsia="zh-CN"/>
        </w:rPr>
        <w:t>，</w:t>
      </w:r>
      <w:r>
        <w:rPr>
          <w:rFonts w:hint="default" w:ascii="Times New Roman" w:hAnsi="Times New Roman" w:eastAsia="方正仿宋简体" w:cs="Times New Roman"/>
          <w:kern w:val="2"/>
          <w:sz w:val="32"/>
          <w:szCs w:val="32"/>
        </w:rPr>
        <w:t>农场河路、蒋湾互通</w:t>
      </w:r>
      <w:r>
        <w:rPr>
          <w:rFonts w:hint="default" w:ascii="Times New Roman" w:hAnsi="Times New Roman" w:eastAsia="方正仿宋简体" w:cs="Times New Roman"/>
          <w:color w:val="000000"/>
          <w:kern w:val="2"/>
          <w:sz w:val="32"/>
          <w:szCs w:val="32"/>
          <w:highlight w:val="none"/>
        </w:rPr>
        <w:t>等重点工程前期工作</w:t>
      </w:r>
      <w:r>
        <w:rPr>
          <w:rFonts w:hint="eastAsia" w:ascii="Times New Roman" w:hAnsi="Times New Roman" w:eastAsia="方正仿宋简体" w:cs="Times New Roman"/>
          <w:sz w:val="32"/>
          <w:szCs w:val="40"/>
          <w:highlight w:val="none"/>
          <w:lang w:val="en-US" w:eastAsia="zh-CN"/>
        </w:rPr>
        <w:t>提速</w:t>
      </w:r>
      <w:r>
        <w:rPr>
          <w:rFonts w:hint="default" w:ascii="Times New Roman" w:hAnsi="Times New Roman" w:eastAsia="方正仿宋简体" w:cs="Times New Roman"/>
          <w:sz w:val="32"/>
          <w:szCs w:val="40"/>
          <w:highlight w:val="none"/>
          <w:lang w:val="en-US" w:eastAsia="zh-CN"/>
        </w:rPr>
        <w:t>推进</w:t>
      </w:r>
      <w:r>
        <w:rPr>
          <w:rFonts w:hint="default" w:ascii="Times New Roman" w:hAnsi="Times New Roman" w:eastAsia="方正仿宋简体" w:cs="Times New Roman"/>
          <w:color w:val="000000"/>
          <w:kern w:val="2"/>
          <w:sz w:val="32"/>
          <w:szCs w:val="32"/>
          <w:highlight w:val="none"/>
          <w:lang w:eastAsia="zh-CN"/>
        </w:rPr>
        <w:t>；</w:t>
      </w:r>
      <w:r>
        <w:rPr>
          <w:rFonts w:hint="default" w:ascii="Times New Roman" w:hAnsi="Times New Roman" w:eastAsia="方正仿宋简体" w:cs="Times New Roman"/>
          <w:sz w:val="32"/>
          <w:szCs w:val="40"/>
          <w:highlight w:val="none"/>
          <w:lang w:val="en-US" w:eastAsia="zh-CN"/>
        </w:rPr>
        <w:t>学东路、教育西路、龙池街等市政道路有序建设；龙袍新城片区建设</w:t>
      </w:r>
      <w:r>
        <w:rPr>
          <w:rFonts w:hint="eastAsia" w:ascii="Times New Roman" w:hAnsi="Times New Roman" w:eastAsia="方正仿宋简体" w:cs="Times New Roman"/>
          <w:sz w:val="32"/>
          <w:szCs w:val="40"/>
          <w:highlight w:val="none"/>
          <w:lang w:val="en-US" w:eastAsia="zh-CN"/>
        </w:rPr>
        <w:t>加快</w:t>
      </w:r>
      <w:r>
        <w:rPr>
          <w:rFonts w:hint="default" w:ascii="Times New Roman" w:hAnsi="Times New Roman" w:eastAsia="方正仿宋简体" w:cs="Times New Roman"/>
          <w:sz w:val="32"/>
          <w:szCs w:val="40"/>
          <w:highlight w:val="none"/>
          <w:lang w:val="en-US" w:eastAsia="zh-CN"/>
        </w:rPr>
        <w:t>，园区二路、划子河路项目完工，虎跃路、规六路进入收尾阶段，杨庄河路、龙袍大道、知青路等道路开展验收工作，丰北变电站主体工程</w:t>
      </w:r>
      <w:r>
        <w:rPr>
          <w:rFonts w:hint="eastAsia" w:ascii="Times New Roman" w:hAnsi="Times New Roman" w:eastAsia="方正仿宋简体" w:cs="Times New Roman"/>
          <w:sz w:val="32"/>
          <w:szCs w:val="40"/>
          <w:highlight w:val="none"/>
          <w:lang w:val="en-US" w:eastAsia="zh-CN"/>
        </w:rPr>
        <w:t>顺利</w:t>
      </w:r>
      <w:r>
        <w:rPr>
          <w:rFonts w:hint="default" w:ascii="Times New Roman" w:hAnsi="Times New Roman" w:eastAsia="方正仿宋简体" w:cs="Times New Roman"/>
          <w:sz w:val="32"/>
          <w:szCs w:val="40"/>
          <w:highlight w:val="none"/>
          <w:lang w:val="en-US" w:eastAsia="zh-CN"/>
        </w:rPr>
        <w:t>完工；</w:t>
      </w:r>
      <w:r>
        <w:rPr>
          <w:rFonts w:hint="default" w:ascii="Times New Roman" w:hAnsi="Times New Roman" w:eastAsia="方正仿宋简体" w:cs="Times New Roman"/>
          <w:b w:val="0"/>
          <w:bCs w:val="0"/>
          <w:color w:val="auto"/>
          <w:kern w:val="2"/>
          <w:sz w:val="32"/>
          <w:szCs w:val="32"/>
          <w:highlight w:val="none"/>
          <w:lang w:val="en-US" w:eastAsia="zh-CN" w:bidi="ar-SA"/>
        </w:rPr>
        <w:t>建成中压管网11.</w:t>
      </w:r>
      <w:r>
        <w:rPr>
          <w:rFonts w:hint="eastAsia" w:ascii="Times New Roman" w:hAnsi="Times New Roman" w:eastAsia="方正仿宋简体" w:cs="Times New Roman"/>
          <w:b w:val="0"/>
          <w:bCs w:val="0"/>
          <w:color w:val="auto"/>
          <w:kern w:val="2"/>
          <w:sz w:val="32"/>
          <w:szCs w:val="32"/>
          <w:highlight w:val="none"/>
          <w:lang w:val="en-US" w:eastAsia="zh-CN" w:bidi="ar-SA"/>
        </w:rPr>
        <w:t>5</w:t>
      </w:r>
      <w:r>
        <w:rPr>
          <w:rFonts w:hint="default" w:ascii="Times New Roman" w:hAnsi="Times New Roman" w:eastAsia="方正仿宋简体" w:cs="Times New Roman"/>
          <w:b w:val="0"/>
          <w:bCs w:val="0"/>
          <w:color w:val="auto"/>
          <w:kern w:val="2"/>
          <w:sz w:val="32"/>
          <w:szCs w:val="32"/>
          <w:highlight w:val="none"/>
          <w:lang w:val="en-US" w:eastAsia="zh-CN" w:bidi="ar-SA"/>
        </w:rPr>
        <w:t>公里、低压管网10.5公里、区域调压柜6座；新增燃气设施居民用户1697户；</w:t>
      </w:r>
      <w:bookmarkStart w:id="0" w:name="OLE_LINK29"/>
      <w:bookmarkStart w:id="1" w:name="OLE_LINK30"/>
      <w:r>
        <w:rPr>
          <w:rFonts w:hint="default" w:ascii="Times New Roman" w:hAnsi="Times New Roman" w:eastAsia="方正仿宋简体" w:cs="Times New Roman"/>
          <w:sz w:val="32"/>
          <w:szCs w:val="32"/>
        </w:rPr>
        <w:t>新禹河治理工程总体形象进度达88%</w:t>
      </w:r>
      <w:bookmarkEnd w:id="0"/>
      <w:bookmarkEnd w:id="1"/>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lang w:val="en-US" w:eastAsia="zh-CN"/>
        </w:rPr>
        <w:t>完成</w:t>
      </w:r>
      <w:r>
        <w:rPr>
          <w:rFonts w:hint="default" w:ascii="Times New Roman" w:hAnsi="Times New Roman" w:eastAsia="方正仿宋简体" w:cs="Times New Roman"/>
          <w:sz w:val="32"/>
          <w:szCs w:val="40"/>
          <w:highlight w:val="none"/>
          <w:lang w:val="en-US" w:eastAsia="zh-CN"/>
        </w:rPr>
        <w:t>3项防汛消险项目、3座小型水库清淤及库容恢复工程。</w:t>
      </w:r>
      <w:r>
        <w:rPr>
          <w:rFonts w:hint="eastAsia" w:ascii="Times New Roman" w:hAnsi="Times New Roman" w:eastAsia="方正仿宋简体" w:cs="Times New Roman"/>
          <w:b/>
          <w:bCs/>
          <w:sz w:val="32"/>
          <w:szCs w:val="32"/>
          <w:highlight w:val="none"/>
          <w:lang w:val="en-US" w:eastAsia="zh-CN"/>
        </w:rPr>
        <w:t>城乡管理精细提升。</w:t>
      </w:r>
      <w:r>
        <w:rPr>
          <w:rFonts w:hint="default" w:ascii="Times New Roman" w:hAnsi="Times New Roman" w:eastAsia="方正仿宋简体" w:cs="Times New Roman"/>
          <w:sz w:val="32"/>
          <w:szCs w:val="32"/>
          <w:highlight w:val="none"/>
          <w:lang w:val="en-US" w:eastAsia="zh-CN"/>
        </w:rPr>
        <w:t>18个</w:t>
      </w:r>
      <w:r>
        <w:rPr>
          <w:rFonts w:hint="default" w:ascii="Times New Roman" w:hAnsi="Times New Roman" w:eastAsia="方正仿宋简体" w:cs="Times New Roman"/>
          <w:sz w:val="32"/>
          <w:szCs w:val="40"/>
          <w:highlight w:val="none"/>
        </w:rPr>
        <w:t>市级</w:t>
      </w:r>
      <w:r>
        <w:rPr>
          <w:rFonts w:hint="default" w:ascii="Times New Roman" w:hAnsi="Times New Roman" w:eastAsia="方正仿宋简体" w:cs="Times New Roman"/>
          <w:sz w:val="32"/>
          <w:szCs w:val="40"/>
          <w:highlight w:val="none"/>
          <w:lang w:eastAsia="zh-CN"/>
        </w:rPr>
        <w:t>、</w:t>
      </w:r>
      <w:r>
        <w:rPr>
          <w:rFonts w:hint="default" w:ascii="Times New Roman" w:hAnsi="Times New Roman" w:eastAsia="方正仿宋简体" w:cs="Times New Roman"/>
          <w:sz w:val="32"/>
          <w:szCs w:val="40"/>
          <w:highlight w:val="none"/>
          <w:lang w:val="en-US" w:eastAsia="zh-CN"/>
        </w:rPr>
        <w:t>106个区级</w:t>
      </w:r>
      <w:r>
        <w:rPr>
          <w:rFonts w:hint="default" w:ascii="Times New Roman" w:hAnsi="Times New Roman" w:eastAsia="方正仿宋简体" w:cs="Times New Roman"/>
          <w:sz w:val="32"/>
          <w:szCs w:val="40"/>
          <w:highlight w:val="none"/>
        </w:rPr>
        <w:t>城建项目</w:t>
      </w:r>
      <w:r>
        <w:rPr>
          <w:rFonts w:hint="default" w:ascii="Times New Roman" w:hAnsi="Times New Roman" w:eastAsia="方正仿宋简体" w:cs="Times New Roman"/>
          <w:sz w:val="32"/>
          <w:szCs w:val="40"/>
          <w:highlight w:val="none"/>
          <w:lang w:val="en-US" w:eastAsia="zh-CN"/>
        </w:rPr>
        <w:t>分别</w:t>
      </w:r>
      <w:r>
        <w:rPr>
          <w:rFonts w:hint="default" w:ascii="Times New Roman" w:hAnsi="Times New Roman" w:eastAsia="方正仿宋简体" w:cs="Times New Roman"/>
          <w:sz w:val="32"/>
          <w:szCs w:val="40"/>
          <w:highlight w:val="none"/>
        </w:rPr>
        <w:t>完成投资4.</w:t>
      </w:r>
      <w:r>
        <w:rPr>
          <w:rFonts w:hint="default" w:ascii="Times New Roman" w:hAnsi="Times New Roman" w:eastAsia="方正仿宋简体" w:cs="Times New Roman"/>
          <w:sz w:val="32"/>
          <w:szCs w:val="40"/>
          <w:highlight w:val="none"/>
          <w:lang w:val="en-US" w:eastAsia="zh-CN"/>
        </w:rPr>
        <w:t>39</w:t>
      </w:r>
      <w:r>
        <w:rPr>
          <w:rFonts w:hint="default" w:ascii="Times New Roman" w:hAnsi="Times New Roman" w:eastAsia="方正仿宋简体" w:cs="Times New Roman"/>
          <w:sz w:val="32"/>
          <w:szCs w:val="40"/>
          <w:highlight w:val="none"/>
        </w:rPr>
        <w:t>亿元</w:t>
      </w:r>
      <w:r>
        <w:rPr>
          <w:rFonts w:hint="default" w:ascii="Times New Roman" w:hAnsi="Times New Roman" w:eastAsia="方正仿宋简体" w:cs="Times New Roman"/>
          <w:sz w:val="32"/>
          <w:szCs w:val="40"/>
          <w:highlight w:val="none"/>
          <w:lang w:eastAsia="zh-CN"/>
        </w:rPr>
        <w:t>、</w:t>
      </w:r>
      <w:r>
        <w:rPr>
          <w:rFonts w:hint="eastAsia" w:ascii="Times New Roman" w:hAnsi="Times New Roman" w:eastAsia="方正仿宋简体" w:cs="Times New Roman"/>
          <w:sz w:val="32"/>
          <w:szCs w:val="40"/>
          <w:highlight w:val="none"/>
          <w:lang w:val="en-US" w:eastAsia="zh-CN"/>
        </w:rPr>
        <w:t>52.11</w:t>
      </w:r>
      <w:r>
        <w:rPr>
          <w:rFonts w:hint="default" w:ascii="Times New Roman" w:hAnsi="Times New Roman" w:eastAsia="方正仿宋简体" w:cs="Times New Roman"/>
          <w:sz w:val="32"/>
          <w:szCs w:val="40"/>
          <w:highlight w:val="none"/>
          <w:lang w:val="en-US" w:eastAsia="zh-CN"/>
        </w:rPr>
        <w:t>亿元</w:t>
      </w:r>
      <w:r>
        <w:rPr>
          <w:rFonts w:hint="default" w:ascii="Times New Roman" w:hAnsi="Times New Roman" w:eastAsia="方正仿宋简体" w:cs="Times New Roman"/>
          <w:sz w:val="32"/>
          <w:szCs w:val="40"/>
          <w:highlight w:val="none"/>
        </w:rPr>
        <w:t>，</w:t>
      </w:r>
      <w:r>
        <w:rPr>
          <w:rFonts w:hint="default" w:ascii="Times New Roman" w:hAnsi="Times New Roman" w:eastAsia="方正仿宋简体" w:cs="Times New Roman"/>
          <w:sz w:val="32"/>
          <w:szCs w:val="40"/>
          <w:highlight w:val="none"/>
          <w:lang w:val="en-US" w:eastAsia="zh-CN"/>
        </w:rPr>
        <w:t>均</w:t>
      </w:r>
      <w:r>
        <w:rPr>
          <w:rFonts w:hint="default" w:ascii="Times New Roman" w:hAnsi="Times New Roman" w:eastAsia="方正仿宋简体" w:cs="Times New Roman"/>
          <w:sz w:val="32"/>
          <w:szCs w:val="40"/>
          <w:highlight w:val="none"/>
        </w:rPr>
        <w:t>超额完成</w:t>
      </w:r>
      <w:r>
        <w:rPr>
          <w:rFonts w:hint="default" w:ascii="Times New Roman" w:hAnsi="Times New Roman" w:eastAsia="方正仿宋简体" w:cs="Times New Roman"/>
          <w:sz w:val="32"/>
          <w:szCs w:val="40"/>
          <w:highlight w:val="none"/>
          <w:lang w:val="en-US" w:eastAsia="zh-CN"/>
        </w:rPr>
        <w:t>半年</w:t>
      </w:r>
      <w:r>
        <w:rPr>
          <w:rFonts w:hint="default" w:ascii="Times New Roman" w:hAnsi="Times New Roman" w:eastAsia="方正仿宋简体" w:cs="Times New Roman"/>
          <w:sz w:val="32"/>
          <w:szCs w:val="40"/>
          <w:highlight w:val="none"/>
        </w:rPr>
        <w:t>目标</w:t>
      </w:r>
      <w:r>
        <w:rPr>
          <w:rFonts w:hint="eastAsia" w:ascii="Times New Roman" w:hAnsi="Times New Roman" w:eastAsia="方正仿宋简体" w:cs="Times New Roman"/>
          <w:sz w:val="32"/>
          <w:szCs w:val="40"/>
          <w:highlight w:val="none"/>
          <w:lang w:val="en-US" w:eastAsia="zh-CN"/>
        </w:rPr>
        <w:t>任务</w:t>
      </w:r>
      <w:r>
        <w:rPr>
          <w:rFonts w:hint="default" w:ascii="Times New Roman" w:hAnsi="Times New Roman" w:eastAsia="方正仿宋简体" w:cs="Times New Roman"/>
          <w:sz w:val="32"/>
          <w:szCs w:val="40"/>
          <w:highlight w:val="none"/>
        </w:rPr>
        <w:t>；</w:t>
      </w:r>
      <w:r>
        <w:rPr>
          <w:rFonts w:hint="default" w:ascii="Times New Roman" w:hAnsi="Times New Roman" w:eastAsia="方正仿宋简体" w:cs="Times New Roman"/>
          <w:sz w:val="32"/>
          <w:szCs w:val="40"/>
          <w:highlight w:val="none"/>
          <w:lang w:val="en-US" w:eastAsia="zh-CN"/>
        </w:rPr>
        <w:t>11个城市更新项目</w:t>
      </w:r>
      <w:r>
        <w:rPr>
          <w:rFonts w:hint="eastAsia" w:ascii="Times New Roman" w:hAnsi="Times New Roman" w:eastAsia="方正仿宋简体" w:cs="Times New Roman"/>
          <w:sz w:val="32"/>
          <w:szCs w:val="40"/>
          <w:highlight w:val="none"/>
          <w:lang w:val="en-US" w:eastAsia="zh-CN"/>
        </w:rPr>
        <w:t>稳步</w:t>
      </w:r>
      <w:r>
        <w:rPr>
          <w:rFonts w:hint="default" w:ascii="Times New Roman" w:hAnsi="Times New Roman" w:eastAsia="方正仿宋简体" w:cs="Times New Roman"/>
          <w:sz w:val="32"/>
          <w:szCs w:val="40"/>
          <w:highlight w:val="none"/>
          <w:lang w:val="en-US" w:eastAsia="zh-CN"/>
        </w:rPr>
        <w:t>推进</w:t>
      </w:r>
      <w:r>
        <w:rPr>
          <w:rFonts w:hint="default" w:ascii="Times New Roman" w:hAnsi="Times New Roman" w:eastAsia="方正仿宋简体" w:cs="Times New Roman"/>
          <w:snapToGrid w:val="0"/>
          <w:color w:val="000000"/>
          <w:kern w:val="0"/>
          <w:sz w:val="32"/>
          <w:szCs w:val="32"/>
          <w:lang w:val="en-US" w:eastAsia="zh-CN"/>
        </w:rPr>
        <w:t>；全区首个历史地段保护规划（</w:t>
      </w:r>
      <w:r>
        <w:rPr>
          <w:rFonts w:hint="default" w:ascii="Times New Roman" w:hAnsi="Times New Roman" w:eastAsia="方正楷体简体" w:cs="Times New Roman"/>
          <w:snapToGrid w:val="0"/>
          <w:color w:val="000000"/>
          <w:kern w:val="0"/>
          <w:sz w:val="32"/>
          <w:szCs w:val="32"/>
          <w:lang w:val="en-US" w:eastAsia="zh-CN"/>
        </w:rPr>
        <w:t>《六合文庙历史地段</w:t>
      </w:r>
      <w:r>
        <w:rPr>
          <w:rFonts w:hint="eastAsia" w:ascii="Times New Roman" w:hAnsi="Times New Roman" w:eastAsia="方正楷体简体" w:cs="Times New Roman"/>
          <w:snapToGrid w:val="0"/>
          <w:color w:val="000000"/>
          <w:kern w:val="0"/>
          <w:sz w:val="32"/>
          <w:szCs w:val="32"/>
          <w:lang w:val="en-US" w:eastAsia="zh-CN"/>
        </w:rPr>
        <w:t>&lt;</w:t>
      </w:r>
      <w:r>
        <w:rPr>
          <w:rFonts w:hint="default" w:ascii="Times New Roman" w:hAnsi="Times New Roman" w:eastAsia="方正楷体简体" w:cs="Times New Roman"/>
          <w:snapToGrid w:val="0"/>
          <w:color w:val="000000"/>
          <w:kern w:val="0"/>
          <w:sz w:val="32"/>
          <w:szCs w:val="32"/>
          <w:lang w:val="en-US" w:eastAsia="zh-CN"/>
        </w:rPr>
        <w:t>风貌区</w:t>
      </w:r>
      <w:r>
        <w:rPr>
          <w:rFonts w:hint="eastAsia" w:ascii="Times New Roman" w:hAnsi="Times New Roman" w:eastAsia="方正楷体简体" w:cs="Times New Roman"/>
          <w:snapToGrid w:val="0"/>
          <w:color w:val="000000"/>
          <w:kern w:val="0"/>
          <w:sz w:val="32"/>
          <w:szCs w:val="32"/>
          <w:lang w:val="en-US" w:eastAsia="zh-CN"/>
        </w:rPr>
        <w:t>&gt;</w:t>
      </w:r>
      <w:r>
        <w:rPr>
          <w:rFonts w:hint="default" w:ascii="Times New Roman" w:hAnsi="Times New Roman" w:eastAsia="方正楷体简体" w:cs="Times New Roman"/>
          <w:snapToGrid w:val="0"/>
          <w:color w:val="000000"/>
          <w:kern w:val="0"/>
          <w:sz w:val="32"/>
          <w:szCs w:val="32"/>
          <w:lang w:val="en-US" w:eastAsia="zh-CN"/>
        </w:rPr>
        <w:t>保护规划》</w:t>
      </w:r>
      <w:r>
        <w:rPr>
          <w:rFonts w:hint="default" w:ascii="Times New Roman" w:hAnsi="Times New Roman" w:eastAsia="方正仿宋简体" w:cs="Times New Roman"/>
          <w:snapToGrid w:val="0"/>
          <w:color w:val="000000"/>
          <w:kern w:val="0"/>
          <w:sz w:val="32"/>
          <w:szCs w:val="32"/>
          <w:lang w:val="en-US" w:eastAsia="zh-CN"/>
        </w:rPr>
        <w:t>）获市政府批复，文庙片区有机更新</w:t>
      </w:r>
      <w:r>
        <w:rPr>
          <w:rFonts w:hint="eastAsia" w:ascii="Times New Roman" w:hAnsi="Times New Roman" w:eastAsia="方正仿宋简体" w:cs="Times New Roman"/>
          <w:snapToGrid w:val="0"/>
          <w:color w:val="000000"/>
          <w:kern w:val="0"/>
          <w:sz w:val="32"/>
          <w:szCs w:val="32"/>
          <w:lang w:val="en-US" w:eastAsia="zh-CN"/>
        </w:rPr>
        <w:t>提速</w:t>
      </w:r>
      <w:r>
        <w:rPr>
          <w:rFonts w:hint="default" w:ascii="Times New Roman" w:hAnsi="Times New Roman" w:eastAsia="方正仿宋简体" w:cs="Times New Roman"/>
          <w:snapToGrid w:val="0"/>
          <w:color w:val="000000"/>
          <w:kern w:val="0"/>
          <w:sz w:val="32"/>
          <w:szCs w:val="32"/>
          <w:lang w:val="en-US" w:eastAsia="zh-CN"/>
        </w:rPr>
        <w:t>实施；</w:t>
      </w:r>
      <w:r>
        <w:rPr>
          <w:rFonts w:hint="default" w:ascii="Times New Roman" w:hAnsi="Times New Roman" w:eastAsia="方正仿宋简体" w:cs="Times New Roman"/>
          <w:color w:val="auto"/>
          <w:sz w:val="32"/>
          <w:szCs w:val="32"/>
          <w:lang w:val="en-US" w:eastAsia="zh-CN"/>
        </w:rPr>
        <w:t>统筹</w:t>
      </w:r>
      <w:r>
        <w:rPr>
          <w:rFonts w:hint="eastAsia" w:ascii="Times New Roman" w:hAnsi="Times New Roman" w:eastAsia="方正仿宋简体" w:cs="Times New Roman"/>
          <w:color w:val="auto"/>
          <w:sz w:val="32"/>
          <w:szCs w:val="32"/>
          <w:lang w:val="en-US" w:eastAsia="zh-CN"/>
        </w:rPr>
        <w:t>开展</w:t>
      </w:r>
      <w:r>
        <w:rPr>
          <w:rFonts w:hint="default" w:ascii="Times New Roman" w:hAnsi="Times New Roman" w:eastAsia="方正仿宋简体" w:cs="Times New Roman"/>
          <w:color w:val="auto"/>
          <w:sz w:val="32"/>
          <w:szCs w:val="32"/>
          <w:lang w:val="en-US" w:eastAsia="zh-CN"/>
        </w:rPr>
        <w:t>5条背街小巷整治；新增公共停车泊位356个，有效缓解停车难题；</w:t>
      </w:r>
      <w:r>
        <w:rPr>
          <w:rFonts w:hint="default" w:ascii="Times New Roman" w:hAnsi="Times New Roman" w:eastAsia="方正仿宋简体" w:cs="Times New Roman"/>
          <w:sz w:val="32"/>
          <w:szCs w:val="32"/>
        </w:rPr>
        <w:t>持续推进雄州片区排涝系统完善工程，</w:t>
      </w:r>
      <w:r>
        <w:rPr>
          <w:rFonts w:hint="default" w:ascii="Times New Roman" w:hAnsi="Times New Roman" w:eastAsia="方正仿宋简体" w:cs="Times New Roman"/>
          <w:sz w:val="32"/>
          <w:szCs w:val="32"/>
          <w:lang w:val="en-US" w:eastAsia="zh-CN"/>
        </w:rPr>
        <w:t>总体</w:t>
      </w:r>
      <w:r>
        <w:rPr>
          <w:rFonts w:hint="default" w:ascii="Times New Roman" w:hAnsi="Times New Roman" w:eastAsia="方正仿宋简体" w:cs="Times New Roman"/>
          <w:sz w:val="32"/>
          <w:szCs w:val="32"/>
        </w:rPr>
        <w:t>进度达69%</w:t>
      </w:r>
      <w:r>
        <w:rPr>
          <w:rFonts w:hint="default" w:ascii="Times New Roman" w:hAnsi="Times New Roman" w:eastAsia="方正仿宋简体" w:cs="Times New Roman"/>
          <w:sz w:val="32"/>
          <w:szCs w:val="32"/>
          <w:lang w:eastAsia="zh-CN"/>
        </w:rPr>
        <w:t>；</w:t>
      </w:r>
      <w:bookmarkStart w:id="2" w:name="OLE_LINK23"/>
      <w:r>
        <w:rPr>
          <w:rFonts w:hint="default" w:ascii="Times New Roman" w:hAnsi="Times New Roman" w:eastAsia="方正仿宋简体" w:cs="Times New Roman"/>
          <w:sz w:val="32"/>
          <w:szCs w:val="32"/>
        </w:rPr>
        <w:t>改造</w:t>
      </w:r>
      <w:bookmarkEnd w:id="2"/>
      <w:bookmarkStart w:id="3" w:name="OLE_LINK41"/>
      <w:bookmarkStart w:id="4" w:name="OLE_LINK39"/>
      <w:bookmarkStart w:id="5" w:name="OLE_LINK40"/>
      <w:r>
        <w:rPr>
          <w:rFonts w:hint="default" w:ascii="Times New Roman" w:hAnsi="Times New Roman" w:eastAsia="方正仿宋简体" w:cs="Times New Roman"/>
          <w:sz w:val="32"/>
          <w:szCs w:val="32"/>
          <w:lang w:val="en-US" w:eastAsia="zh-CN"/>
        </w:rPr>
        <w:t>提升</w:t>
      </w:r>
      <w:r>
        <w:rPr>
          <w:rFonts w:hint="default" w:ascii="Times New Roman" w:hAnsi="Times New Roman" w:eastAsia="方正仿宋简体" w:cs="Times New Roman"/>
          <w:sz w:val="32"/>
          <w:szCs w:val="32"/>
        </w:rPr>
        <w:t>街镇供水管</w:t>
      </w:r>
      <w:bookmarkStart w:id="6" w:name="OLE_LINK316"/>
      <w:r>
        <w:rPr>
          <w:rFonts w:hint="default" w:ascii="Times New Roman" w:hAnsi="Times New Roman" w:eastAsia="方正仿宋简体" w:cs="Times New Roman"/>
          <w:sz w:val="32"/>
          <w:szCs w:val="32"/>
        </w:rPr>
        <w:t>网</w:t>
      </w:r>
      <w:bookmarkEnd w:id="3"/>
      <w:bookmarkEnd w:id="4"/>
      <w:bookmarkEnd w:id="5"/>
      <w:bookmarkEnd w:id="6"/>
      <w:r>
        <w:rPr>
          <w:rFonts w:hint="eastAsia" w:ascii="Times New Roman" w:hAnsi="Times New Roman" w:eastAsia="方正仿宋简体" w:cs="Times New Roman"/>
          <w:sz w:val="32"/>
          <w:szCs w:val="32"/>
          <w:lang w:val="en-US" w:eastAsia="zh-CN"/>
        </w:rPr>
        <w:t>220</w:t>
      </w:r>
      <w:r>
        <w:rPr>
          <w:rFonts w:hint="default" w:ascii="Times New Roman" w:hAnsi="Times New Roman" w:eastAsia="方正仿宋简体" w:cs="Times New Roman"/>
          <w:sz w:val="32"/>
          <w:szCs w:val="32"/>
        </w:rPr>
        <w:t>公里，增设一体化供水设施5座；新改建主城区老旧供水管网</w:t>
      </w:r>
      <w:r>
        <w:rPr>
          <w:rFonts w:hint="eastAsia" w:ascii="Times New Roman" w:hAnsi="Times New Roman" w:eastAsia="方正仿宋简体" w:cs="Times New Roman"/>
          <w:sz w:val="32"/>
          <w:szCs w:val="32"/>
          <w:lang w:val="en-US" w:eastAsia="zh-CN"/>
        </w:rPr>
        <w:t>11.8</w:t>
      </w:r>
      <w:r>
        <w:rPr>
          <w:rFonts w:hint="default" w:ascii="Times New Roman" w:hAnsi="Times New Roman" w:eastAsia="方正仿宋简体" w:cs="Times New Roman"/>
          <w:sz w:val="32"/>
          <w:szCs w:val="32"/>
        </w:rPr>
        <w:t>公里</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完成</w:t>
      </w:r>
      <w:r>
        <w:rPr>
          <w:rFonts w:hint="eastAsia" w:ascii="Times New Roman" w:hAnsi="Times New Roman" w:eastAsia="方正仿宋简体" w:cs="Times New Roman"/>
          <w:sz w:val="32"/>
          <w:szCs w:val="32"/>
          <w:lang w:val="en-US" w:eastAsia="zh-CN"/>
        </w:rPr>
        <w:t>8</w:t>
      </w:r>
      <w:r>
        <w:rPr>
          <w:rFonts w:hint="default" w:ascii="Times New Roman" w:hAnsi="Times New Roman" w:eastAsia="方正仿宋简体" w:cs="Times New Roman"/>
          <w:sz w:val="32"/>
          <w:szCs w:val="32"/>
        </w:rPr>
        <w:t>座城镇污水处理厂提标改造工程</w:t>
      </w:r>
      <w:r>
        <w:rPr>
          <w:rFonts w:hint="default" w:ascii="Times New Roman" w:hAnsi="Times New Roman" w:eastAsia="方正仿宋简体" w:cs="Times New Roman"/>
          <w:sz w:val="32"/>
          <w:szCs w:val="32"/>
          <w:lang w:eastAsia="zh-CN"/>
        </w:rPr>
        <w:t>；</w:t>
      </w:r>
      <w:r>
        <w:rPr>
          <w:rFonts w:hint="eastAsia" w:ascii="Times New Roman" w:hAnsi="Times New Roman" w:eastAsia="方正仿宋简体" w:cs="Times New Roman"/>
          <w:sz w:val="32"/>
          <w:szCs w:val="32"/>
          <w:lang w:val="en-US" w:eastAsia="zh-CN"/>
        </w:rPr>
        <w:t>程桥唐楼社区山口（</w:t>
      </w:r>
      <w:r>
        <w:rPr>
          <w:rFonts w:hint="eastAsia" w:ascii="方正楷体简体" w:hAnsi="方正楷体简体" w:eastAsia="方正楷体简体" w:cs="方正楷体简体"/>
          <w:sz w:val="32"/>
          <w:szCs w:val="32"/>
          <w:lang w:val="en-US" w:eastAsia="zh-CN"/>
        </w:rPr>
        <w:t>倪庄</w:t>
      </w:r>
      <w:r>
        <w:rPr>
          <w:rFonts w:hint="eastAsia" w:ascii="Times New Roman" w:hAnsi="Times New Roman" w:eastAsia="方正仿宋简体" w:cs="Times New Roman"/>
          <w:sz w:val="32"/>
          <w:szCs w:val="32"/>
          <w:lang w:val="en-US" w:eastAsia="zh-CN"/>
        </w:rPr>
        <w:t>）入围省特色田园乡村公示名单；</w:t>
      </w:r>
      <w:r>
        <w:rPr>
          <w:rFonts w:hint="default" w:ascii="Times New Roman" w:hAnsi="Times New Roman" w:eastAsia="方正仿宋简体" w:cs="Times New Roman"/>
          <w:b w:val="0"/>
          <w:bCs w:val="0"/>
          <w:sz w:val="32"/>
          <w:szCs w:val="32"/>
          <w:lang w:val="en-US" w:eastAsia="zh-CN"/>
        </w:rPr>
        <w:t>实施农村低收入群体危房改造任务57户；</w:t>
      </w:r>
      <w:r>
        <w:rPr>
          <w:rFonts w:hint="default" w:ascii="Times New Roman" w:hAnsi="Times New Roman" w:eastAsia="方正仿宋简体" w:cs="Times New Roman"/>
          <w:snapToGrid w:val="0"/>
          <w:color w:val="000000"/>
          <w:kern w:val="0"/>
          <w:sz w:val="32"/>
          <w:szCs w:val="32"/>
          <w:lang w:val="en-US" w:eastAsia="zh-CN" w:bidi="ar-SA"/>
        </w:rPr>
        <w:t>新增绿地面积10.3万平方米，建成区绿地率达41.5%。</w:t>
      </w:r>
    </w:p>
    <w:p w14:paraId="5E58095F">
      <w:pPr>
        <w:keepNext w:val="0"/>
        <w:keepLines w:val="0"/>
        <w:pageBreakBefore w:val="0"/>
        <w:widowControl w:val="0"/>
        <w:kinsoku/>
        <w:wordWrap/>
        <w:topLinePunct w:val="0"/>
        <w:autoSpaceDE/>
        <w:autoSpaceDN/>
        <w:bidi w:val="0"/>
        <w:spacing w:line="560" w:lineRule="exact"/>
        <w:ind w:firstLine="640" w:firstLineChars="200"/>
        <w:textAlignment w:val="auto"/>
        <w:rPr>
          <w:rFonts w:hint="eastAsia" w:ascii="Times New Roman" w:hAnsi="Times New Roman" w:eastAsia="方正楷体简体" w:cs="Times New Roman"/>
          <w:sz w:val="32"/>
          <w:szCs w:val="32"/>
          <w:lang w:val="en-US" w:eastAsia="zh-CN"/>
        </w:rPr>
      </w:pPr>
      <w:r>
        <w:rPr>
          <w:rFonts w:hint="eastAsia" w:ascii="Times New Roman" w:hAnsi="Times New Roman" w:eastAsia="方正楷体简体" w:cs="Times New Roman"/>
          <w:sz w:val="32"/>
          <w:szCs w:val="32"/>
          <w:highlight w:val="none"/>
          <w:lang w:val="en-US" w:eastAsia="zh-CN"/>
        </w:rPr>
        <w:t>4. 绿色发展扎实推进，生态底色更加鲜亮。</w:t>
      </w:r>
      <w:r>
        <w:rPr>
          <w:rFonts w:hint="default" w:ascii="Times New Roman" w:hAnsi="Times New Roman" w:eastAsia="方正仿宋简体" w:cs="Times New Roman"/>
          <w:b/>
          <w:bCs/>
          <w:sz w:val="32"/>
          <w:szCs w:val="32"/>
          <w:highlight w:val="none"/>
          <w:lang w:val="en-US" w:eastAsia="zh-CN"/>
        </w:rPr>
        <w:t>环境治理精准深入。</w:t>
      </w:r>
      <w:r>
        <w:rPr>
          <w:rFonts w:hint="default" w:ascii="Times New Roman" w:hAnsi="Times New Roman" w:eastAsia="方正仿宋简体" w:cs="Times New Roman"/>
          <w:color w:val="000000"/>
          <w:sz w:val="32"/>
          <w:szCs w:val="32"/>
          <w:lang w:val="en-US" w:eastAsia="zh-CN"/>
        </w:rPr>
        <w:t>完成</w:t>
      </w:r>
      <w:r>
        <w:rPr>
          <w:rFonts w:hint="default" w:ascii="Times New Roman" w:hAnsi="Times New Roman" w:eastAsia="方正仿宋简体" w:cs="Times New Roman"/>
          <w:color w:val="000000"/>
          <w:sz w:val="32"/>
          <w:szCs w:val="32"/>
        </w:rPr>
        <w:t>第三轮中央生态环境保护督察交办信访事项验收销号13件</w:t>
      </w:r>
      <w:r>
        <w:rPr>
          <w:rFonts w:hint="default" w:ascii="Times New Roman" w:hAnsi="Times New Roman" w:eastAsia="方正仿宋简体" w:cs="Times New Roman"/>
          <w:color w:val="000000"/>
          <w:sz w:val="32"/>
          <w:szCs w:val="32"/>
          <w:lang w:eastAsia="zh-CN"/>
        </w:rPr>
        <w:t>；</w:t>
      </w:r>
      <w:r>
        <w:rPr>
          <w:rFonts w:hint="default" w:ascii="Times New Roman" w:hAnsi="Times New Roman" w:eastAsia="方正仿宋简体" w:cs="Times New Roman"/>
          <w:sz w:val="32"/>
          <w:szCs w:val="32"/>
        </w:rPr>
        <w:t>大泉小流域成功入选第一批国家水土保持示范工程</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color w:val="000000"/>
          <w:sz w:val="32"/>
          <w:szCs w:val="32"/>
        </w:rPr>
        <w:t>完成</w:t>
      </w:r>
      <w:r>
        <w:rPr>
          <w:rFonts w:hint="eastAsia" w:ascii="Times New Roman" w:hAnsi="Times New Roman" w:eastAsia="方正仿宋简体" w:cs="Times New Roman"/>
          <w:color w:val="000000"/>
          <w:sz w:val="32"/>
          <w:szCs w:val="32"/>
          <w:lang w:val="en-US" w:eastAsia="zh-CN"/>
        </w:rPr>
        <w:t>298</w:t>
      </w:r>
      <w:r>
        <w:rPr>
          <w:rFonts w:hint="default" w:ascii="Times New Roman" w:hAnsi="Times New Roman" w:eastAsia="方正仿宋简体" w:cs="Times New Roman"/>
          <w:color w:val="000000"/>
          <w:sz w:val="32"/>
          <w:szCs w:val="32"/>
        </w:rPr>
        <w:t>个入河排污口巡查抽测</w:t>
      </w:r>
      <w:r>
        <w:rPr>
          <w:rFonts w:hint="default" w:ascii="Times New Roman" w:hAnsi="Times New Roman" w:eastAsia="方正仿宋简体" w:cs="Times New Roman"/>
          <w:color w:val="000000"/>
          <w:sz w:val="32"/>
          <w:szCs w:val="32"/>
          <w:lang w:eastAsia="zh-CN"/>
        </w:rPr>
        <w:t>；</w:t>
      </w:r>
      <w:r>
        <w:rPr>
          <w:rFonts w:hint="default" w:ascii="Times New Roman" w:hAnsi="Times New Roman" w:eastAsia="方正仿宋简体" w:cs="Times New Roman"/>
          <w:color w:val="000000"/>
          <w:sz w:val="32"/>
          <w:szCs w:val="32"/>
        </w:rPr>
        <w:t>国、省考断面水质均值均达标</w:t>
      </w:r>
      <w:r>
        <w:rPr>
          <w:rFonts w:hint="default" w:ascii="Times New Roman" w:hAnsi="Times New Roman" w:eastAsia="方正仿宋简体" w:cs="Times New Roman"/>
          <w:color w:val="000000"/>
          <w:sz w:val="32"/>
          <w:szCs w:val="32"/>
          <w:lang w:eastAsia="zh-CN"/>
        </w:rPr>
        <w:t>；</w:t>
      </w:r>
      <w:r>
        <w:rPr>
          <w:rFonts w:hint="default" w:ascii="Times New Roman" w:hAnsi="Times New Roman" w:eastAsia="方正仿宋简体" w:cs="Times New Roman"/>
          <w:color w:val="000000"/>
          <w:sz w:val="32"/>
          <w:szCs w:val="32"/>
        </w:rPr>
        <w:t>开展全域农村水体拉网式排查，</w:t>
      </w:r>
      <w:r>
        <w:rPr>
          <w:rFonts w:hint="eastAsia" w:ascii="Times New Roman" w:hAnsi="Times New Roman" w:eastAsia="方正仿宋简体" w:cs="Times New Roman"/>
          <w:color w:val="000000"/>
          <w:sz w:val="32"/>
          <w:szCs w:val="32"/>
          <w:lang w:val="en-US" w:eastAsia="zh-CN"/>
        </w:rPr>
        <w:t>完成</w:t>
      </w:r>
      <w:r>
        <w:rPr>
          <w:rFonts w:hint="default" w:ascii="Times New Roman" w:hAnsi="Times New Roman" w:eastAsia="方正仿宋简体" w:cs="Times New Roman"/>
          <w:color w:val="000000"/>
          <w:sz w:val="32"/>
          <w:szCs w:val="32"/>
        </w:rPr>
        <w:t>97条农村黑臭水体整治情况“回头看”</w:t>
      </w:r>
      <w:r>
        <w:rPr>
          <w:rFonts w:hint="default" w:ascii="Times New Roman" w:hAnsi="Times New Roman" w:eastAsia="方正仿宋简体" w:cs="Times New Roman"/>
          <w:color w:val="000000"/>
          <w:sz w:val="32"/>
          <w:szCs w:val="32"/>
          <w:lang w:eastAsia="zh-CN"/>
        </w:rPr>
        <w:t>；</w:t>
      </w:r>
      <w:r>
        <w:rPr>
          <w:rFonts w:hint="default" w:ascii="Times New Roman" w:hAnsi="Times New Roman" w:eastAsia="方正仿宋简体" w:cs="Times New Roman"/>
          <w:sz w:val="32"/>
          <w:szCs w:val="32"/>
        </w:rPr>
        <w:t>农村生活污水设施运行正常率超90%</w:t>
      </w:r>
      <w:r>
        <w:rPr>
          <w:rFonts w:hint="eastAsia"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lang w:val="en-US" w:eastAsia="zh-CN"/>
        </w:rPr>
        <w:t>扎实</w:t>
      </w:r>
      <w:r>
        <w:rPr>
          <w:rFonts w:hint="default" w:ascii="Times New Roman" w:hAnsi="Times New Roman" w:eastAsia="方正仿宋简体" w:cs="Times New Roman"/>
          <w:sz w:val="32"/>
          <w:szCs w:val="32"/>
        </w:rPr>
        <w:t>推进2条农村生态河道、9条幸福河湖建设</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color w:val="000000"/>
          <w:sz w:val="32"/>
          <w:szCs w:val="32"/>
        </w:rPr>
        <w:t>完成5个建设用地土壤调查报告内审，启动16块优先监管地块周边环境监测</w:t>
      </w:r>
      <w:r>
        <w:rPr>
          <w:rFonts w:hint="default" w:ascii="Times New Roman" w:hAnsi="Times New Roman" w:eastAsia="方正仿宋简体" w:cs="Times New Roman"/>
          <w:color w:val="000000"/>
          <w:sz w:val="32"/>
          <w:szCs w:val="32"/>
          <w:lang w:eastAsia="zh-CN"/>
        </w:rPr>
        <w:t>；</w:t>
      </w:r>
      <w:r>
        <w:rPr>
          <w:rFonts w:hint="default" w:ascii="Times New Roman" w:hAnsi="Times New Roman" w:eastAsia="方正仿宋简体" w:cs="Times New Roman"/>
          <w:color w:val="000000"/>
          <w:sz w:val="32"/>
          <w:szCs w:val="32"/>
          <w:lang w:val="en-US" w:eastAsia="zh-CN"/>
        </w:rPr>
        <w:t>建立城市治理“一委一办一平台”统筹协调机制，纵深推进“净美家园”及环境大提升行动</w:t>
      </w:r>
      <w:r>
        <w:rPr>
          <w:rFonts w:hint="default" w:ascii="Times New Roman" w:hAnsi="Times New Roman" w:eastAsia="方正仿宋简体" w:cs="Times New Roman"/>
          <w:color w:val="auto"/>
          <w:kern w:val="0"/>
          <w:sz w:val="32"/>
          <w:szCs w:val="32"/>
          <w:u w:val="none"/>
          <w:lang w:val="en-US" w:eastAsia="zh-CN" w:bidi="ar-SA"/>
        </w:rPr>
        <w:t>。</w:t>
      </w:r>
      <w:r>
        <w:rPr>
          <w:rFonts w:hint="default" w:ascii="Times New Roman" w:hAnsi="Times New Roman" w:eastAsia="方正仿宋简体" w:cs="Times New Roman"/>
          <w:b/>
          <w:bCs/>
          <w:sz w:val="32"/>
          <w:szCs w:val="32"/>
          <w:highlight w:val="none"/>
          <w:lang w:val="en-US" w:eastAsia="zh-CN"/>
        </w:rPr>
        <w:t>低碳转型步伐</w:t>
      </w:r>
      <w:r>
        <w:rPr>
          <w:rFonts w:hint="eastAsia" w:ascii="Times New Roman" w:hAnsi="Times New Roman" w:eastAsia="方正仿宋简体" w:cs="Times New Roman"/>
          <w:b/>
          <w:bCs/>
          <w:sz w:val="32"/>
          <w:szCs w:val="32"/>
          <w:highlight w:val="none"/>
          <w:lang w:val="en-US" w:eastAsia="zh-CN"/>
        </w:rPr>
        <w:t>加快</w:t>
      </w:r>
      <w:r>
        <w:rPr>
          <w:rFonts w:hint="default" w:ascii="Times New Roman" w:hAnsi="Times New Roman" w:eastAsia="方正仿宋简体" w:cs="Times New Roman"/>
          <w:b/>
          <w:bCs/>
          <w:sz w:val="32"/>
          <w:szCs w:val="32"/>
          <w:highlight w:val="none"/>
          <w:lang w:val="en-US" w:eastAsia="zh-CN"/>
        </w:rPr>
        <w:t>。</w:t>
      </w:r>
      <w:r>
        <w:rPr>
          <w:rFonts w:hint="default" w:ascii="Times New Roman" w:hAnsi="Times New Roman" w:eastAsia="方正仿宋简体" w:cs="Times New Roman"/>
          <w:sz w:val="32"/>
          <w:szCs w:val="40"/>
          <w:highlight w:val="none"/>
          <w:lang w:val="en-US" w:eastAsia="zh-CN"/>
        </w:rPr>
        <w:t>扎实推进省级“双碳”试点城市建设，</w:t>
      </w:r>
      <w:r>
        <w:rPr>
          <w:rFonts w:hint="default" w:ascii="Times New Roman" w:hAnsi="Times New Roman" w:eastAsia="方正仿宋简体" w:cs="Times New Roman"/>
          <w:b w:val="0"/>
          <w:bCs w:val="0"/>
          <w:kern w:val="2"/>
          <w:sz w:val="32"/>
          <w:szCs w:val="32"/>
          <w:lang w:val="en-US" w:eastAsia="zh-CN" w:bidi="ar-SA"/>
        </w:rPr>
        <w:t>完善碳排放趋势测算和碳排放分析展望报告编制；</w:t>
      </w:r>
      <w:r>
        <w:rPr>
          <w:rFonts w:hint="default" w:ascii="Times New Roman" w:hAnsi="Times New Roman" w:eastAsia="方正仿宋简体" w:cs="Times New Roman"/>
          <w:sz w:val="32"/>
          <w:szCs w:val="40"/>
          <w:lang w:val="en-US" w:eastAsia="zh-CN"/>
        </w:rPr>
        <w:t>龙池头桥渔光互补光伏项目实现全容量并网，全区新能源总装机容量超900兆瓦，建成全市规模最大的新能源集群；</w:t>
      </w:r>
      <w:r>
        <w:rPr>
          <w:rFonts w:hint="default" w:ascii="Times New Roman" w:hAnsi="Times New Roman" w:eastAsia="方正仿宋简体" w:cs="Times New Roman"/>
          <w:sz w:val="32"/>
          <w:szCs w:val="40"/>
          <w:highlight w:val="none"/>
          <w:lang w:val="en-US" w:eastAsia="zh-CN"/>
        </w:rPr>
        <w:t>分布式光伏并网用户总数达9517户、总容量434兆瓦，集中式光伏并网投运项目7个、总容量424兆瓦；</w:t>
      </w:r>
      <w:r>
        <w:rPr>
          <w:rFonts w:hint="default" w:ascii="Times New Roman" w:hAnsi="Times New Roman" w:eastAsia="方正仿宋简体" w:cs="Times New Roman"/>
          <w:b w:val="0"/>
          <w:bCs w:val="0"/>
          <w:sz w:val="32"/>
          <w:szCs w:val="32"/>
          <w:lang w:val="en-US" w:eastAsia="zh-CN"/>
        </w:rPr>
        <w:t>稳妥推进六合冶山105万</w:t>
      </w:r>
      <w:r>
        <w:rPr>
          <w:rFonts w:hint="eastAsia" w:ascii="Times New Roman" w:hAnsi="Times New Roman" w:eastAsia="方正仿宋简体" w:cs="Times New Roman"/>
          <w:b w:val="0"/>
          <w:bCs w:val="0"/>
          <w:sz w:val="32"/>
          <w:szCs w:val="32"/>
          <w:lang w:val="en-US" w:eastAsia="zh-CN"/>
        </w:rPr>
        <w:t>千瓦</w:t>
      </w:r>
      <w:r>
        <w:rPr>
          <w:rFonts w:hint="default" w:ascii="Times New Roman" w:hAnsi="Times New Roman" w:eastAsia="方正仿宋简体" w:cs="Times New Roman"/>
          <w:b w:val="0"/>
          <w:bCs w:val="0"/>
          <w:sz w:val="32"/>
          <w:szCs w:val="32"/>
          <w:lang w:val="en-US" w:eastAsia="zh-CN"/>
        </w:rPr>
        <w:t>抽水蓄能电站</w:t>
      </w:r>
      <w:r>
        <w:rPr>
          <w:rFonts w:hint="eastAsia" w:ascii="Times New Roman" w:hAnsi="Times New Roman" w:eastAsia="方正仿宋简体" w:cs="Times New Roman"/>
          <w:b w:val="0"/>
          <w:bCs w:val="0"/>
          <w:sz w:val="32"/>
          <w:szCs w:val="32"/>
          <w:lang w:val="en-US" w:eastAsia="zh-CN"/>
        </w:rPr>
        <w:t>纳入《江</w:t>
      </w:r>
      <w:r>
        <w:rPr>
          <w:rFonts w:hint="default" w:ascii="Times New Roman" w:hAnsi="Times New Roman" w:eastAsia="方正仿宋简体" w:cs="Times New Roman"/>
          <w:b w:val="0"/>
          <w:bCs w:val="0"/>
          <w:sz w:val="32"/>
          <w:szCs w:val="32"/>
          <w:lang w:val="en-US" w:eastAsia="zh-CN"/>
        </w:rPr>
        <w:t>苏省“十五五”能源</w:t>
      </w:r>
      <w:r>
        <w:rPr>
          <w:rFonts w:hint="eastAsia" w:ascii="Times New Roman" w:hAnsi="Times New Roman" w:eastAsia="方正仿宋简体" w:cs="Times New Roman"/>
          <w:b w:val="0"/>
          <w:bCs w:val="0"/>
          <w:sz w:val="32"/>
          <w:szCs w:val="32"/>
          <w:lang w:val="en-US" w:eastAsia="zh-CN"/>
        </w:rPr>
        <w:t>规划》、省重大储备、省国土空间规划重点项目，有序开展要素资源调整等</w:t>
      </w:r>
      <w:r>
        <w:rPr>
          <w:rFonts w:hint="default" w:ascii="Times New Roman" w:hAnsi="Times New Roman" w:eastAsia="方正仿宋简体" w:cs="Times New Roman"/>
          <w:b w:val="0"/>
          <w:bCs w:val="0"/>
          <w:sz w:val="32"/>
          <w:szCs w:val="32"/>
          <w:lang w:val="en-US" w:eastAsia="zh-CN"/>
        </w:rPr>
        <w:t>前期工作；</w:t>
      </w:r>
      <w:r>
        <w:rPr>
          <w:rFonts w:hint="default" w:ascii="Times New Roman" w:hAnsi="Times New Roman" w:eastAsia="方正仿宋简体" w:cs="Times New Roman"/>
          <w:sz w:val="32"/>
          <w:szCs w:val="40"/>
        </w:rPr>
        <w:t>10家企业</w:t>
      </w:r>
      <w:r>
        <w:rPr>
          <w:rFonts w:hint="default" w:ascii="Times New Roman" w:hAnsi="Times New Roman" w:eastAsia="方正仿宋简体" w:cs="Times New Roman"/>
          <w:sz w:val="32"/>
          <w:szCs w:val="40"/>
          <w:lang w:val="en-US" w:eastAsia="zh-CN"/>
        </w:rPr>
        <w:t>入选</w:t>
      </w:r>
      <w:r>
        <w:rPr>
          <w:rFonts w:hint="default" w:ascii="Times New Roman" w:hAnsi="Times New Roman" w:eastAsia="方正仿宋简体" w:cs="Times New Roman"/>
          <w:sz w:val="32"/>
          <w:szCs w:val="40"/>
        </w:rPr>
        <w:t>绿色工厂培育库，</w:t>
      </w:r>
      <w:r>
        <w:rPr>
          <w:rFonts w:hint="eastAsia" w:ascii="Times New Roman" w:hAnsi="Times New Roman" w:eastAsia="方正仿宋简体" w:cs="Times New Roman"/>
          <w:sz w:val="32"/>
          <w:szCs w:val="40"/>
          <w:lang w:val="en-US" w:eastAsia="zh-CN"/>
        </w:rPr>
        <w:t>鼓励</w:t>
      </w:r>
      <w:r>
        <w:rPr>
          <w:rFonts w:hint="default" w:ascii="Times New Roman" w:hAnsi="Times New Roman" w:eastAsia="方正仿宋简体" w:cs="Times New Roman"/>
          <w:sz w:val="32"/>
          <w:szCs w:val="40"/>
        </w:rPr>
        <w:t>久鼎、宁顺等企业创建国家级绿色工厂</w:t>
      </w:r>
      <w:r>
        <w:rPr>
          <w:rFonts w:hint="default" w:ascii="Times New Roman" w:hAnsi="Times New Roman" w:eastAsia="方正仿宋简体" w:cs="Times New Roman"/>
          <w:sz w:val="32"/>
          <w:szCs w:val="40"/>
          <w:lang w:eastAsia="zh-CN"/>
        </w:rPr>
        <w:t>；</w:t>
      </w:r>
      <w:r>
        <w:rPr>
          <w:rFonts w:hint="default" w:ascii="Times New Roman" w:hAnsi="Times New Roman" w:eastAsia="方正仿宋简体" w:cs="Times New Roman"/>
          <w:sz w:val="32"/>
          <w:szCs w:val="40"/>
          <w:highlight w:val="none"/>
          <w:lang w:val="en-US" w:eastAsia="zh-CN"/>
        </w:rPr>
        <w:t>深化国家农业绿色发展先行区建设，“两品一标”农产品337个，排名全市第1，绿色优质农产品占比达88%；</w:t>
      </w:r>
      <w:r>
        <w:rPr>
          <w:rFonts w:hint="default" w:ascii="Times New Roman" w:hAnsi="Times New Roman" w:eastAsia="方正仿宋简体" w:cs="Times New Roman"/>
          <w:color w:val="auto"/>
          <w:kern w:val="0"/>
          <w:sz w:val="32"/>
          <w:szCs w:val="32"/>
          <w:u w:val="none"/>
          <w:lang w:val="en-US" w:eastAsia="zh-CN" w:bidi="ar-SA"/>
        </w:rPr>
        <w:t>主要农作物秸秆综合利用率达97%以上，农业绿色发展水平持续领先</w:t>
      </w:r>
      <w:r>
        <w:rPr>
          <w:rFonts w:hint="default" w:ascii="Times New Roman" w:hAnsi="Times New Roman" w:eastAsia="方正仿宋简体" w:cs="Times New Roman"/>
          <w:color w:val="000000"/>
          <w:sz w:val="32"/>
          <w:szCs w:val="32"/>
          <w:lang w:eastAsia="zh-CN"/>
        </w:rPr>
        <w:t>；</w:t>
      </w:r>
      <w:r>
        <w:rPr>
          <w:rFonts w:hint="default" w:ascii="Times New Roman" w:hAnsi="Times New Roman" w:eastAsia="方正仿宋简体" w:cs="Times New Roman"/>
          <w:sz w:val="32"/>
          <w:szCs w:val="32"/>
        </w:rPr>
        <w:t>新建绿色建筑</w:t>
      </w:r>
      <w:r>
        <w:rPr>
          <w:rFonts w:hint="eastAsia" w:ascii="Times New Roman" w:hAnsi="Times New Roman" w:eastAsia="方正仿宋简体" w:cs="Times New Roman"/>
          <w:sz w:val="32"/>
          <w:szCs w:val="32"/>
          <w:lang w:val="en-US" w:eastAsia="zh-CN"/>
        </w:rPr>
        <w:t>42.43</w:t>
      </w:r>
      <w:r>
        <w:rPr>
          <w:rFonts w:hint="default" w:ascii="Times New Roman" w:hAnsi="Times New Roman" w:eastAsia="方正仿宋简体" w:cs="Times New Roman"/>
          <w:sz w:val="32"/>
          <w:szCs w:val="32"/>
        </w:rPr>
        <w:t>万</w:t>
      </w:r>
      <w:r>
        <w:rPr>
          <w:rFonts w:hint="default" w:ascii="Times New Roman" w:hAnsi="Times New Roman" w:eastAsia="方正仿宋简体" w:cs="Times New Roman"/>
          <w:sz w:val="32"/>
          <w:szCs w:val="32"/>
          <w:lang w:val="en-US" w:eastAsia="zh-CN"/>
        </w:rPr>
        <w:t>平方米</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城镇新建</w:t>
      </w:r>
      <w:r>
        <w:rPr>
          <w:rFonts w:hint="default" w:ascii="Times New Roman" w:hAnsi="Times New Roman" w:eastAsia="方正仿宋简体" w:cs="Times New Roman"/>
          <w:sz w:val="32"/>
          <w:szCs w:val="32"/>
          <w:lang w:eastAsia="zh-CN"/>
        </w:rPr>
        <w:t>绿色</w:t>
      </w:r>
      <w:r>
        <w:rPr>
          <w:rFonts w:hint="default" w:ascii="Times New Roman" w:hAnsi="Times New Roman" w:eastAsia="方正仿宋简体" w:cs="Times New Roman"/>
          <w:sz w:val="32"/>
          <w:szCs w:val="32"/>
        </w:rPr>
        <w:t>建筑</w:t>
      </w:r>
      <w:r>
        <w:rPr>
          <w:rFonts w:hint="default" w:ascii="Times New Roman" w:hAnsi="Times New Roman" w:eastAsia="方正仿宋简体" w:cs="Times New Roman"/>
          <w:sz w:val="32"/>
          <w:szCs w:val="32"/>
          <w:lang w:eastAsia="zh-CN"/>
        </w:rPr>
        <w:t>占新建建筑比例</w:t>
      </w:r>
      <w:r>
        <w:rPr>
          <w:rFonts w:hint="default" w:ascii="Times New Roman" w:hAnsi="Times New Roman" w:eastAsia="方正仿宋简体" w:cs="Times New Roman"/>
          <w:sz w:val="32"/>
          <w:szCs w:val="32"/>
          <w:lang w:val="en-US" w:eastAsia="zh-CN"/>
        </w:rPr>
        <w:t>100%。</w:t>
      </w:r>
    </w:p>
    <w:p w14:paraId="6C0EADD6">
      <w:pPr>
        <w:keepNext w:val="0"/>
        <w:keepLines w:val="0"/>
        <w:pageBreakBefore w:val="0"/>
        <w:widowControl w:val="0"/>
        <w:kinsoku/>
        <w:wordWrap/>
        <w:topLinePunct w:val="0"/>
        <w:autoSpaceDE/>
        <w:autoSpaceDN/>
        <w:bidi w:val="0"/>
        <w:spacing w:line="560" w:lineRule="exact"/>
        <w:ind w:firstLine="640" w:firstLineChars="200"/>
        <w:textAlignment w:val="auto"/>
        <w:rPr>
          <w:rFonts w:hint="eastAsia" w:ascii="Times New Roman" w:hAnsi="Times New Roman" w:eastAsia="方正楷体简体" w:cs="Times New Roman"/>
          <w:sz w:val="32"/>
          <w:szCs w:val="32"/>
          <w:lang w:val="en-US" w:eastAsia="zh-CN"/>
        </w:rPr>
      </w:pPr>
      <w:r>
        <w:rPr>
          <w:rFonts w:hint="eastAsia" w:ascii="Times New Roman" w:hAnsi="Times New Roman" w:eastAsia="方正楷体简体" w:cs="Times New Roman"/>
          <w:sz w:val="32"/>
          <w:szCs w:val="32"/>
          <w:lang w:val="en-US" w:eastAsia="zh-CN"/>
        </w:rPr>
        <w:t>5. 民生保障持续加力，社会大局和谐稳定。</w:t>
      </w:r>
      <w:r>
        <w:rPr>
          <w:rFonts w:hint="eastAsia" w:ascii="Times New Roman" w:hAnsi="Times New Roman" w:eastAsia="方正仿宋简体" w:cs="Times New Roman"/>
          <w:b/>
          <w:bCs/>
          <w:sz w:val="32"/>
          <w:szCs w:val="32"/>
          <w:highlight w:val="none"/>
          <w:lang w:val="en-US" w:eastAsia="zh-CN"/>
        </w:rPr>
        <w:t>社会保障</w:t>
      </w:r>
      <w:r>
        <w:rPr>
          <w:rFonts w:hint="default" w:ascii="Times New Roman" w:hAnsi="Times New Roman" w:eastAsia="方正仿宋简体" w:cs="Times New Roman"/>
          <w:b/>
          <w:bCs/>
          <w:sz w:val="32"/>
          <w:szCs w:val="32"/>
          <w:highlight w:val="none"/>
          <w:lang w:val="en-US" w:eastAsia="zh-CN"/>
        </w:rPr>
        <w:t>提标</w:t>
      </w:r>
      <w:r>
        <w:rPr>
          <w:rFonts w:hint="eastAsia" w:ascii="Times New Roman" w:hAnsi="Times New Roman" w:eastAsia="方正仿宋简体" w:cs="Times New Roman"/>
          <w:b/>
          <w:bCs/>
          <w:sz w:val="32"/>
          <w:szCs w:val="32"/>
          <w:highlight w:val="none"/>
          <w:lang w:val="en-US" w:eastAsia="zh-CN"/>
        </w:rPr>
        <w:t>增效。</w:t>
      </w:r>
      <w:r>
        <w:rPr>
          <w:rFonts w:hint="default" w:ascii="Times New Roman" w:hAnsi="Times New Roman" w:eastAsia="方正仿宋简体" w:cs="Times New Roman"/>
          <w:sz w:val="32"/>
          <w:szCs w:val="32"/>
          <w:highlight w:val="none"/>
        </w:rPr>
        <w:t>九大类38项民生实事全部达到或超过进度要求，其中，防汛消险工程、小型水库清淤项目、山湖灌区续建配套与节水改造项目等10个事项已提前完成全年任务；</w:t>
      </w:r>
      <w:r>
        <w:rPr>
          <w:rFonts w:hint="default" w:ascii="Times New Roman" w:hAnsi="Times New Roman" w:eastAsia="方正仿宋简体" w:cs="Times New Roman"/>
          <w:color w:val="auto"/>
          <w:sz w:val="32"/>
          <w:szCs w:val="32"/>
          <w:highlight w:val="none"/>
          <w:lang w:val="en-US" w:eastAsia="zh-CN"/>
        </w:rPr>
        <w:t>举办线上线下招聘会</w:t>
      </w:r>
      <w:r>
        <w:rPr>
          <w:rFonts w:hint="eastAsia" w:ascii="Times New Roman" w:hAnsi="Times New Roman" w:eastAsia="方正仿宋简体" w:cs="Times New Roman"/>
          <w:color w:val="auto"/>
          <w:sz w:val="32"/>
          <w:szCs w:val="32"/>
          <w:highlight w:val="none"/>
          <w:lang w:val="en-US" w:eastAsia="zh-CN"/>
        </w:rPr>
        <w:t>133</w:t>
      </w:r>
      <w:r>
        <w:rPr>
          <w:rFonts w:hint="default" w:ascii="Times New Roman" w:hAnsi="Times New Roman" w:eastAsia="方正仿宋简体" w:cs="Times New Roman"/>
          <w:color w:val="auto"/>
          <w:sz w:val="32"/>
          <w:szCs w:val="32"/>
          <w:highlight w:val="none"/>
          <w:lang w:val="en-US" w:eastAsia="zh-CN"/>
        </w:rPr>
        <w:t>场，提供岗位</w:t>
      </w:r>
      <w:r>
        <w:rPr>
          <w:rFonts w:hint="eastAsia" w:ascii="Times New Roman" w:hAnsi="Times New Roman" w:eastAsia="方正仿宋简体" w:cs="Times New Roman"/>
          <w:color w:val="auto"/>
          <w:sz w:val="32"/>
          <w:szCs w:val="32"/>
          <w:highlight w:val="none"/>
          <w:lang w:val="en-US" w:eastAsia="zh-CN"/>
        </w:rPr>
        <w:t>3.25</w:t>
      </w:r>
      <w:r>
        <w:rPr>
          <w:rFonts w:hint="default" w:ascii="Times New Roman" w:hAnsi="Times New Roman" w:eastAsia="方正仿宋简体" w:cs="Times New Roman"/>
          <w:color w:val="auto"/>
          <w:sz w:val="32"/>
          <w:szCs w:val="32"/>
          <w:highlight w:val="none"/>
          <w:lang w:val="en-US" w:eastAsia="zh-CN"/>
        </w:rPr>
        <w:t>万个次；全面落实就业扶持政策，发放各类</w:t>
      </w:r>
      <w:r>
        <w:rPr>
          <w:rFonts w:hint="eastAsia" w:ascii="Times New Roman" w:hAnsi="Times New Roman" w:eastAsia="方正仿宋简体" w:cs="Times New Roman"/>
          <w:color w:val="auto"/>
          <w:sz w:val="32"/>
          <w:szCs w:val="32"/>
          <w:highlight w:val="none"/>
          <w:lang w:val="en-US" w:eastAsia="zh-CN"/>
        </w:rPr>
        <w:t>就业</w:t>
      </w:r>
      <w:r>
        <w:rPr>
          <w:rFonts w:hint="default" w:ascii="Times New Roman" w:hAnsi="Times New Roman" w:eastAsia="方正仿宋简体" w:cs="Times New Roman"/>
          <w:color w:val="auto"/>
          <w:sz w:val="32"/>
          <w:szCs w:val="32"/>
          <w:highlight w:val="none"/>
          <w:lang w:val="en-US" w:eastAsia="zh-CN"/>
        </w:rPr>
        <w:t>补贴2466.5</w:t>
      </w:r>
      <w:r>
        <w:rPr>
          <w:rFonts w:hint="eastAsia" w:ascii="Times New Roman" w:hAnsi="Times New Roman" w:eastAsia="方正仿宋简体" w:cs="Times New Roman"/>
          <w:color w:val="auto"/>
          <w:sz w:val="32"/>
          <w:szCs w:val="32"/>
          <w:highlight w:val="none"/>
          <w:lang w:val="en-US" w:eastAsia="zh-CN"/>
        </w:rPr>
        <w:t>3</w:t>
      </w:r>
      <w:r>
        <w:rPr>
          <w:rFonts w:hint="default" w:ascii="Times New Roman" w:hAnsi="Times New Roman" w:eastAsia="方正仿宋简体" w:cs="Times New Roman"/>
          <w:color w:val="auto"/>
          <w:sz w:val="32"/>
          <w:szCs w:val="32"/>
          <w:highlight w:val="none"/>
          <w:lang w:val="en-US" w:eastAsia="zh-CN"/>
        </w:rPr>
        <w:t>万元；</w:t>
      </w:r>
      <w:r>
        <w:rPr>
          <w:rFonts w:hint="default" w:ascii="Times New Roman" w:hAnsi="Times New Roman" w:eastAsia="方正仿宋简体" w:cs="Times New Roman"/>
          <w:b w:val="0"/>
          <w:bCs w:val="0"/>
          <w:color w:val="auto"/>
          <w:spacing w:val="0"/>
          <w:sz w:val="32"/>
          <w:szCs w:val="32"/>
          <w:highlight w:val="none"/>
          <w:u w:val="none"/>
          <w:lang w:val="en-US" w:eastAsia="zh-CN"/>
        </w:rPr>
        <w:t>出台青年人才房票政策，累计发放房票221张；维护劳动者合法权益，帮助</w:t>
      </w:r>
      <w:r>
        <w:rPr>
          <w:rFonts w:hint="default" w:ascii="Times New Roman" w:hAnsi="Times New Roman" w:eastAsia="方正仿宋简体" w:cs="Times New Roman"/>
          <w:color w:val="auto"/>
          <w:sz w:val="32"/>
          <w:szCs w:val="32"/>
          <w:highlight w:val="none"/>
          <w:lang w:val="en-US" w:eastAsia="zh-CN"/>
        </w:rPr>
        <w:t>农民工（</w:t>
      </w:r>
      <w:r>
        <w:rPr>
          <w:rFonts w:hint="eastAsia" w:ascii="方正楷体简体" w:hAnsi="方正楷体简体" w:eastAsia="方正楷体简体" w:cs="方正楷体简体"/>
          <w:color w:val="auto"/>
          <w:sz w:val="32"/>
          <w:szCs w:val="32"/>
          <w:highlight w:val="none"/>
          <w:lang w:val="en-US" w:eastAsia="zh-CN"/>
        </w:rPr>
        <w:t>职工</w:t>
      </w:r>
      <w:r>
        <w:rPr>
          <w:rFonts w:hint="default" w:ascii="Times New Roman" w:hAnsi="Times New Roman" w:eastAsia="方正仿宋简体" w:cs="Times New Roman"/>
          <w:color w:val="auto"/>
          <w:sz w:val="32"/>
          <w:szCs w:val="32"/>
          <w:highlight w:val="none"/>
          <w:lang w:val="en-US" w:eastAsia="zh-CN"/>
        </w:rPr>
        <w:t>）追讨工资1453.3万元；</w:t>
      </w:r>
      <w:r>
        <w:rPr>
          <w:rFonts w:hint="eastAsia" w:ascii="Times New Roman" w:hAnsi="Times New Roman" w:eastAsia="方正仿宋简体" w:cs="Times New Roman"/>
          <w:color w:val="auto"/>
          <w:sz w:val="32"/>
          <w:szCs w:val="32"/>
          <w:highlight w:val="none"/>
          <w:lang w:val="en-US" w:eastAsia="zh-CN"/>
        </w:rPr>
        <w:t>发放</w:t>
      </w:r>
      <w:r>
        <w:rPr>
          <w:rFonts w:hint="default" w:ascii="Times New Roman" w:hAnsi="Times New Roman" w:eastAsia="方正仿宋简体" w:cs="Times New Roman"/>
          <w:color w:val="auto"/>
          <w:sz w:val="32"/>
          <w:szCs w:val="32"/>
          <w:highlight w:val="none"/>
          <w:lang w:val="en-US" w:eastAsia="zh-CN"/>
        </w:rPr>
        <w:t>困难残疾人、困境儿童等生活补贴</w:t>
      </w:r>
      <w:r>
        <w:rPr>
          <w:rFonts w:hint="eastAsia" w:ascii="Times New Roman" w:hAnsi="Times New Roman" w:eastAsia="方正仿宋简体" w:cs="Times New Roman"/>
          <w:color w:val="auto"/>
          <w:sz w:val="32"/>
          <w:szCs w:val="32"/>
          <w:highlight w:val="none"/>
          <w:lang w:val="en-US" w:eastAsia="zh-CN"/>
        </w:rPr>
        <w:t>9667.6万</w:t>
      </w:r>
      <w:r>
        <w:rPr>
          <w:rFonts w:hint="default" w:ascii="Times New Roman" w:hAnsi="Times New Roman" w:eastAsia="方正仿宋简体" w:cs="Times New Roman"/>
          <w:color w:val="auto"/>
          <w:sz w:val="32"/>
          <w:szCs w:val="32"/>
          <w:highlight w:val="none"/>
          <w:lang w:val="en-US" w:eastAsia="zh-CN"/>
        </w:rPr>
        <w:t>元</w:t>
      </w:r>
      <w:r>
        <w:rPr>
          <w:rFonts w:hint="eastAsia" w:ascii="Times New Roman" w:hAnsi="Times New Roman" w:eastAsia="方正仿宋简体" w:cs="Times New Roman"/>
          <w:color w:val="auto"/>
          <w:sz w:val="32"/>
          <w:szCs w:val="32"/>
          <w:highlight w:val="none"/>
          <w:lang w:val="en-US" w:eastAsia="zh-CN"/>
        </w:rPr>
        <w:t>；</w:t>
      </w:r>
      <w:r>
        <w:rPr>
          <w:rFonts w:hint="default" w:ascii="Times New Roman" w:hAnsi="Times New Roman" w:eastAsia="方正仿宋简体" w:cs="Times New Roman"/>
          <w:color w:val="auto"/>
          <w:sz w:val="32"/>
          <w:szCs w:val="32"/>
          <w:highlight w:val="none"/>
          <w:lang w:val="en-US" w:eastAsia="zh-CN"/>
        </w:rPr>
        <w:t>困难人员居民养老保险代缴实现100%覆盖；</w:t>
      </w:r>
      <w:r>
        <w:rPr>
          <w:rFonts w:hint="eastAsia" w:ascii="Times New Roman" w:hAnsi="Times New Roman" w:eastAsia="方正仿宋简体" w:cs="Times New Roman"/>
          <w:color w:val="auto"/>
          <w:sz w:val="32"/>
          <w:szCs w:val="32"/>
          <w:highlight w:val="none"/>
          <w:lang w:val="en-US" w:eastAsia="zh-CN"/>
        </w:rPr>
        <w:t>为2.2万名困难群众城乡居民医保个人缴费部分予以补助1200余万元，拨付医疗救助3697.5万元；</w:t>
      </w:r>
      <w:r>
        <w:rPr>
          <w:rFonts w:hint="default" w:ascii="Times New Roman" w:hAnsi="Times New Roman" w:eastAsia="方正仿宋简体" w:cs="Times New Roman"/>
          <w:color w:val="auto"/>
          <w:sz w:val="32"/>
          <w:szCs w:val="32"/>
          <w:highlight w:val="none"/>
          <w:lang w:val="en-US" w:eastAsia="zh-CN"/>
        </w:rPr>
        <w:t>养老托育服务持续完善，</w:t>
      </w:r>
      <w:r>
        <w:rPr>
          <w:rFonts w:hint="default" w:ascii="Times New Roman" w:hAnsi="Times New Roman" w:eastAsia="方正仿宋简体" w:cs="Times New Roman"/>
          <w:b w:val="0"/>
          <w:bCs w:val="0"/>
          <w:snapToGrid w:val="0"/>
          <w:color w:val="auto"/>
          <w:sz w:val="32"/>
          <w:szCs w:val="32"/>
          <w:lang w:val="en-US" w:eastAsia="zh-CN"/>
        </w:rPr>
        <w:t>建成托育机构65家、托位3185个，普惠托育覆盖率达100%；发放</w:t>
      </w:r>
      <w:r>
        <w:rPr>
          <w:rFonts w:hint="eastAsia" w:ascii="Times New Roman" w:hAnsi="Times New Roman" w:eastAsia="方正仿宋简体" w:cs="Times New Roman"/>
          <w:b w:val="0"/>
          <w:bCs w:val="0"/>
          <w:snapToGrid w:val="0"/>
          <w:color w:val="auto"/>
          <w:sz w:val="32"/>
          <w:szCs w:val="32"/>
          <w:lang w:val="en-US" w:eastAsia="zh-CN"/>
        </w:rPr>
        <w:t>普惠托育、</w:t>
      </w:r>
      <w:r>
        <w:rPr>
          <w:rFonts w:hint="default" w:ascii="Times New Roman" w:hAnsi="Times New Roman" w:eastAsia="方正仿宋简体" w:cs="Times New Roman"/>
          <w:b w:val="0"/>
          <w:bCs w:val="0"/>
          <w:snapToGrid w:val="0"/>
          <w:color w:val="auto"/>
          <w:sz w:val="32"/>
          <w:szCs w:val="32"/>
          <w:lang w:val="en-US" w:eastAsia="zh-CN"/>
        </w:rPr>
        <w:t>育儿补贴</w:t>
      </w:r>
      <w:r>
        <w:rPr>
          <w:rFonts w:hint="eastAsia" w:ascii="Times New Roman" w:hAnsi="Times New Roman" w:eastAsia="方正仿宋简体" w:cs="Times New Roman"/>
          <w:b w:val="0"/>
          <w:bCs w:val="0"/>
          <w:snapToGrid w:val="0"/>
          <w:color w:val="auto"/>
          <w:sz w:val="32"/>
          <w:szCs w:val="32"/>
          <w:lang w:val="en-US" w:eastAsia="zh-CN"/>
        </w:rPr>
        <w:t>、养老资金等4868万元，</w:t>
      </w:r>
      <w:r>
        <w:rPr>
          <w:rFonts w:hint="default" w:ascii="Times New Roman" w:hAnsi="Times New Roman" w:eastAsia="方正仿宋简体" w:cs="Times New Roman"/>
          <w:b w:val="0"/>
          <w:bCs w:val="0"/>
          <w:snapToGrid w:val="0"/>
          <w:color w:val="auto"/>
          <w:sz w:val="32"/>
          <w:szCs w:val="32"/>
          <w:lang w:val="en-US" w:eastAsia="zh-CN"/>
        </w:rPr>
        <w:t>养老综合服务中心实现街镇全覆盖，等级社区居家养老服务中心86个</w:t>
      </w:r>
      <w:r>
        <w:rPr>
          <w:rFonts w:hint="default" w:ascii="Times New Roman" w:hAnsi="Times New Roman" w:eastAsia="方正仿宋简体" w:cs="Times New Roman"/>
          <w:b w:val="0"/>
          <w:bCs w:val="0"/>
          <w:color w:val="auto"/>
          <w:spacing w:val="0"/>
          <w:sz w:val="32"/>
          <w:szCs w:val="32"/>
          <w:highlight w:val="none"/>
          <w:u w:val="none"/>
          <w:lang w:val="en-US" w:eastAsia="zh-CN"/>
        </w:rPr>
        <w:t>。</w:t>
      </w:r>
      <w:r>
        <w:rPr>
          <w:rFonts w:hint="default" w:ascii="Times New Roman" w:hAnsi="Times New Roman" w:eastAsia="方正仿宋简体" w:cs="Times New Roman"/>
          <w:b/>
          <w:bCs/>
          <w:sz w:val="32"/>
          <w:szCs w:val="32"/>
          <w:highlight w:val="none"/>
          <w:lang w:val="en-US" w:eastAsia="zh-CN"/>
        </w:rPr>
        <w:t>公共服务</w:t>
      </w:r>
      <w:r>
        <w:rPr>
          <w:rFonts w:hint="eastAsia" w:ascii="Times New Roman" w:hAnsi="Times New Roman" w:eastAsia="方正仿宋简体" w:cs="Times New Roman"/>
          <w:b/>
          <w:bCs/>
          <w:sz w:val="32"/>
          <w:szCs w:val="32"/>
          <w:highlight w:val="none"/>
          <w:lang w:val="en-US" w:eastAsia="zh-CN"/>
        </w:rPr>
        <w:t>扩面提质</w:t>
      </w:r>
      <w:r>
        <w:rPr>
          <w:rFonts w:hint="default" w:ascii="Times New Roman" w:hAnsi="Times New Roman" w:eastAsia="方正仿宋简体" w:cs="Times New Roman"/>
          <w:b/>
          <w:bCs/>
          <w:sz w:val="32"/>
          <w:szCs w:val="32"/>
          <w:highlight w:val="none"/>
          <w:lang w:val="en-US" w:eastAsia="zh-CN"/>
        </w:rPr>
        <w:t>。</w:t>
      </w:r>
      <w:r>
        <w:rPr>
          <w:rFonts w:hint="default" w:ascii="Times New Roman" w:hAnsi="Times New Roman" w:eastAsia="方正仿宋简体" w:cs="Times New Roman"/>
          <w:b w:val="0"/>
          <w:bCs w:val="0"/>
          <w:color w:val="auto"/>
          <w:sz w:val="32"/>
          <w:szCs w:val="32"/>
          <w:highlight w:val="none"/>
          <w:lang w:val="en-US" w:eastAsia="zh-CN"/>
        </w:rPr>
        <w:t>加快推进高级中学食堂体育馆、中专校食堂及实训综合体（</w:t>
      </w:r>
      <w:r>
        <w:rPr>
          <w:rFonts w:hint="eastAsia" w:ascii="方正楷体简体" w:hAnsi="方正楷体简体" w:eastAsia="方正楷体简体" w:cs="方正楷体简体"/>
          <w:b w:val="0"/>
          <w:bCs w:val="0"/>
          <w:color w:val="auto"/>
          <w:sz w:val="32"/>
          <w:szCs w:val="32"/>
          <w:highlight w:val="none"/>
          <w:lang w:val="en-US" w:eastAsia="zh-CN"/>
        </w:rPr>
        <w:t>一期</w:t>
      </w:r>
      <w:r>
        <w:rPr>
          <w:rFonts w:hint="default" w:ascii="Times New Roman" w:hAnsi="Times New Roman" w:eastAsia="方正仿宋简体" w:cs="Times New Roman"/>
          <w:b w:val="0"/>
          <w:bCs w:val="0"/>
          <w:color w:val="auto"/>
          <w:sz w:val="32"/>
          <w:szCs w:val="32"/>
          <w:highlight w:val="none"/>
          <w:lang w:val="en-US" w:eastAsia="zh-CN"/>
        </w:rPr>
        <w:t>）建设；开展</w:t>
      </w:r>
      <w:r>
        <w:rPr>
          <w:rFonts w:hint="default" w:ascii="Times New Roman" w:hAnsi="Times New Roman" w:eastAsia="方正仿宋简体" w:cs="Times New Roman"/>
          <w:b w:val="0"/>
          <w:bCs w:val="0"/>
          <w:color w:val="auto"/>
          <w:kern w:val="2"/>
          <w:sz w:val="32"/>
          <w:szCs w:val="32"/>
          <w:highlight w:val="none"/>
          <w:lang w:val="en-US" w:eastAsia="zh-CN" w:bidi="ar-SA"/>
        </w:rPr>
        <w:t>中等专业学校实训基地和特殊教育中职部建设项目</w:t>
      </w:r>
      <w:r>
        <w:rPr>
          <w:rFonts w:hint="default" w:ascii="Times New Roman" w:hAnsi="Times New Roman" w:eastAsia="方正仿宋简体" w:cs="Times New Roman"/>
          <w:b w:val="0"/>
          <w:bCs w:val="0"/>
          <w:color w:val="auto"/>
          <w:sz w:val="32"/>
          <w:szCs w:val="32"/>
          <w:highlight w:val="none"/>
          <w:lang w:val="en-US" w:eastAsia="zh-CN"/>
        </w:rPr>
        <w:t>前期工作；</w:t>
      </w:r>
      <w:r>
        <w:rPr>
          <w:rFonts w:hint="default" w:ascii="Times New Roman" w:hAnsi="Times New Roman" w:eastAsia="方正仿宋简体" w:cs="Times New Roman"/>
          <w:b w:val="0"/>
          <w:bCs w:val="0"/>
          <w:snapToGrid w:val="0"/>
          <w:color w:val="auto"/>
          <w:sz w:val="32"/>
          <w:szCs w:val="32"/>
          <w:lang w:val="en-US" w:eastAsia="zh-CN"/>
        </w:rPr>
        <w:t>代表全市参加省基本公共卫生服务项目验收，获评全省第一等次；建成全域中医医联体，构建“区级名中医工作室+基层中医阁”服务网络，推广智慧共享中药房等便民服务；启动区第二人民医院异地新建，打造江北地区一流精神卫生防治中心；</w:t>
      </w:r>
      <w:r>
        <w:rPr>
          <w:rFonts w:hint="default" w:ascii="Times New Roman" w:hAnsi="Times New Roman" w:eastAsia="方正仿宋简体" w:cs="Times New Roman"/>
          <w:color w:val="000000"/>
          <w:kern w:val="0"/>
          <w:sz w:val="32"/>
          <w:szCs w:val="32"/>
          <w:lang w:val="en-US" w:eastAsia="zh-CN" w:bidi="ar"/>
        </w:rPr>
        <w:t>举办群众文化活动98场、</w:t>
      </w:r>
      <w:r>
        <w:rPr>
          <w:rFonts w:hint="default" w:ascii="Times New Roman" w:hAnsi="Times New Roman" w:eastAsia="方正仿宋简体" w:cs="Times New Roman"/>
          <w:sz w:val="32"/>
          <w:szCs w:val="32"/>
          <w:lang w:val="en-US" w:eastAsia="zh-CN"/>
        </w:rPr>
        <w:t>全民阅读推广活动120场；完成国民体质监测2000人次，</w:t>
      </w:r>
      <w:r>
        <w:rPr>
          <w:rFonts w:hint="default" w:ascii="Times New Roman" w:hAnsi="Times New Roman" w:eastAsia="方正仿宋简体" w:cs="Times New Roman"/>
          <w:sz w:val="32"/>
          <w:szCs w:val="32"/>
          <w:highlight w:val="none"/>
        </w:rPr>
        <w:t>承办</w:t>
      </w:r>
      <w:r>
        <w:rPr>
          <w:rFonts w:hint="default" w:ascii="Times New Roman" w:hAnsi="Times New Roman" w:eastAsia="方正仿宋简体" w:cs="Times New Roman"/>
          <w:b w:val="0"/>
          <w:bCs/>
          <w:color w:val="auto"/>
          <w:kern w:val="2"/>
          <w:sz w:val="32"/>
          <w:szCs w:val="32"/>
          <w:lang w:val="en-US" w:eastAsia="zh-CN" w:bidi="ar-SA"/>
        </w:rPr>
        <w:t>大运河帆船系列赛、环南京都市圈自行车赛、江苏定向越野赛等重点体育赛事</w:t>
      </w:r>
      <w:r>
        <w:rPr>
          <w:rFonts w:hint="eastAsia" w:ascii="Times New Roman" w:hAnsi="Times New Roman" w:eastAsia="方正仿宋简体" w:cs="Times New Roman"/>
          <w:b w:val="0"/>
          <w:bCs/>
          <w:color w:val="auto"/>
          <w:kern w:val="2"/>
          <w:sz w:val="32"/>
          <w:szCs w:val="32"/>
          <w:lang w:val="en-US" w:eastAsia="zh-CN" w:bidi="ar-SA"/>
        </w:rPr>
        <w:t>，时隔12年金牛湖再次举办全国性青少年帆船赛事</w:t>
      </w:r>
      <w:r>
        <w:rPr>
          <w:rFonts w:hint="default" w:ascii="Times New Roman" w:hAnsi="Times New Roman" w:eastAsia="方正仿宋简体" w:cs="Times New Roman"/>
          <w:b w:val="0"/>
          <w:bCs/>
          <w:color w:val="auto"/>
          <w:kern w:val="2"/>
          <w:sz w:val="32"/>
          <w:szCs w:val="32"/>
          <w:lang w:val="en-US" w:eastAsia="zh-CN" w:bidi="ar-SA"/>
        </w:rPr>
        <w:t>。</w:t>
      </w:r>
      <w:r>
        <w:rPr>
          <w:rFonts w:hint="default" w:ascii="Times New Roman" w:hAnsi="Times New Roman" w:eastAsia="方正仿宋简体" w:cs="Times New Roman"/>
          <w:b/>
          <w:bCs/>
          <w:sz w:val="32"/>
          <w:szCs w:val="32"/>
          <w:highlight w:val="none"/>
          <w:lang w:val="en-US" w:eastAsia="zh-CN"/>
        </w:rPr>
        <w:t>社会治理高效有序。</w:t>
      </w:r>
      <w:r>
        <w:rPr>
          <w:rFonts w:hint="default" w:ascii="Times New Roman" w:hAnsi="Times New Roman" w:eastAsia="方正仿宋简体" w:cs="Times New Roman"/>
          <w:sz w:val="32"/>
          <w:szCs w:val="32"/>
          <w:highlight w:val="none"/>
          <w:lang w:val="en-US" w:eastAsia="zh-CN"/>
        </w:rPr>
        <w:t>深化综治中心建设，构建“三有三找”为民为企服务工作机制，矛盾纠纷整体化解率达96.38%，有效推动各类风险隐患前置化解、源头清零；拓展“一网统管”实战场景应用10个，数据资源归集共享</w:t>
      </w:r>
      <w:r>
        <w:rPr>
          <w:rFonts w:hint="eastAsia" w:ascii="Times New Roman" w:hAnsi="Times New Roman" w:eastAsia="方正仿宋简体" w:cs="Times New Roman"/>
          <w:sz w:val="32"/>
          <w:szCs w:val="32"/>
          <w:highlight w:val="none"/>
          <w:lang w:val="en-US" w:eastAsia="zh-CN"/>
        </w:rPr>
        <w:t>持续深化</w:t>
      </w:r>
      <w:r>
        <w:rPr>
          <w:rFonts w:hint="default" w:ascii="Times New Roman" w:hAnsi="Times New Roman" w:eastAsia="方正仿宋简体" w:cs="Times New Roman"/>
          <w:sz w:val="32"/>
          <w:szCs w:val="32"/>
          <w:highlight w:val="none"/>
          <w:lang w:val="en-US" w:eastAsia="zh-CN"/>
        </w:rPr>
        <w:t>；12345热线首接办结率99.97%、按时办结率99.99%、涉企诉求满意率91.66%，工作质效评价</w:t>
      </w:r>
      <w:r>
        <w:rPr>
          <w:rFonts w:hint="eastAsia" w:ascii="Times New Roman" w:hAnsi="Times New Roman" w:eastAsia="方正仿宋简体" w:cs="Times New Roman"/>
          <w:sz w:val="32"/>
          <w:szCs w:val="32"/>
          <w:highlight w:val="none"/>
          <w:lang w:val="en-US" w:eastAsia="zh-CN"/>
        </w:rPr>
        <w:t>在全市靠前</w:t>
      </w:r>
      <w:r>
        <w:rPr>
          <w:rFonts w:hint="default" w:ascii="Times New Roman" w:hAnsi="Times New Roman" w:eastAsia="方正仿宋简体" w:cs="Times New Roman"/>
          <w:sz w:val="32"/>
          <w:szCs w:val="32"/>
          <w:highlight w:val="none"/>
          <w:lang w:val="en-US" w:eastAsia="zh-CN"/>
        </w:rPr>
        <w:t>；深入推进安全生产“六化”建设，实现1.7万家社会面小场所全覆盖</w:t>
      </w:r>
      <w:r>
        <w:rPr>
          <w:rFonts w:hint="default" w:ascii="Times New Roman" w:hAnsi="Times New Roman" w:eastAsia="方正仿宋简体" w:cs="Times New Roman"/>
          <w:snapToGrid/>
          <w:color w:val="000000"/>
          <w:kern w:val="0"/>
          <w:sz w:val="32"/>
          <w:szCs w:val="32"/>
          <w:lang w:val="en-US" w:eastAsia="zh-CN" w:bidi="ar"/>
        </w:rPr>
        <w:t>、精细化管控；加强防灾减灾宣传，开展科普宣讲、应急疏散演练16场；</w:t>
      </w:r>
      <w:r>
        <w:rPr>
          <w:rFonts w:hint="default" w:ascii="Times New Roman" w:hAnsi="Times New Roman" w:eastAsia="方正仿宋简体" w:cs="Times New Roman"/>
          <w:b w:val="0"/>
          <w:bCs w:val="0"/>
          <w:sz w:val="32"/>
          <w:szCs w:val="32"/>
        </w:rPr>
        <w:t>推动高层建筑消防隐患问题整改销号</w:t>
      </w:r>
      <w:r>
        <w:rPr>
          <w:rFonts w:hint="default" w:ascii="Times New Roman" w:hAnsi="Times New Roman" w:eastAsia="方正仿宋简体" w:cs="Times New Roman"/>
          <w:b w:val="0"/>
          <w:bCs w:val="0"/>
          <w:sz w:val="32"/>
          <w:szCs w:val="32"/>
          <w:lang w:eastAsia="zh-CN"/>
        </w:rPr>
        <w:t>，</w:t>
      </w:r>
      <w:r>
        <w:rPr>
          <w:rFonts w:hint="default" w:ascii="Times New Roman" w:hAnsi="Times New Roman" w:eastAsia="方正仿宋简体" w:cs="Times New Roman"/>
          <w:snapToGrid w:val="0"/>
          <w:color w:val="000000"/>
          <w:kern w:val="0"/>
          <w:sz w:val="32"/>
          <w:szCs w:val="32"/>
        </w:rPr>
        <w:t>社会面火灾起数</w:t>
      </w:r>
      <w:r>
        <w:rPr>
          <w:rFonts w:hint="default" w:ascii="Times New Roman" w:hAnsi="Times New Roman" w:eastAsia="方正仿宋简体" w:cs="Times New Roman"/>
          <w:sz w:val="32"/>
          <w:szCs w:val="32"/>
          <w:lang w:bidi="ar"/>
        </w:rPr>
        <w:t>同比下降</w:t>
      </w:r>
      <w:r>
        <w:rPr>
          <w:rFonts w:hint="default" w:ascii="Times New Roman" w:hAnsi="Times New Roman" w:eastAsia="方正仿宋简体" w:cs="Times New Roman"/>
          <w:sz w:val="32"/>
          <w:szCs w:val="32"/>
          <w:lang w:val="en-US" w:eastAsia="zh-CN" w:bidi="ar"/>
        </w:rPr>
        <w:t>4.8</w:t>
      </w:r>
      <w:r>
        <w:rPr>
          <w:rFonts w:hint="default" w:ascii="Times New Roman" w:hAnsi="Times New Roman" w:eastAsia="方正仿宋简体" w:cs="Times New Roman"/>
          <w:sz w:val="32"/>
          <w:szCs w:val="32"/>
          <w:lang w:bidi="ar"/>
        </w:rPr>
        <w:t>%</w:t>
      </w:r>
      <w:r>
        <w:rPr>
          <w:rFonts w:hint="default" w:ascii="Times New Roman" w:hAnsi="Times New Roman" w:eastAsia="方正仿宋简体" w:cs="Times New Roman"/>
          <w:sz w:val="32"/>
          <w:szCs w:val="32"/>
          <w:lang w:eastAsia="zh-CN" w:bidi="ar"/>
        </w:rPr>
        <w:t>；市场监管持续强化，</w:t>
      </w:r>
      <w:r>
        <w:rPr>
          <w:rFonts w:hint="default" w:ascii="Times New Roman" w:hAnsi="Times New Roman" w:eastAsia="方正仿宋简体" w:cs="Times New Roman"/>
          <w:sz w:val="32"/>
          <w:szCs w:val="32"/>
          <w:highlight w:val="none"/>
          <w:lang w:val="en-US" w:eastAsia="zh-CN"/>
        </w:rPr>
        <w:t>开展网络餐饮食品安全问题治理专项行动</w:t>
      </w:r>
      <w:r>
        <w:rPr>
          <w:rFonts w:hint="default" w:ascii="Times New Roman" w:hAnsi="Times New Roman" w:eastAsia="方正仿宋简体" w:cs="Times New Roman"/>
          <w:snapToGrid/>
          <w:color w:val="000000"/>
          <w:kern w:val="0"/>
          <w:sz w:val="32"/>
          <w:szCs w:val="32"/>
          <w:lang w:val="en-US" w:eastAsia="zh-CN" w:bidi="ar"/>
        </w:rPr>
        <w:t>，</w:t>
      </w:r>
      <w:r>
        <w:rPr>
          <w:rFonts w:hint="default" w:ascii="Times New Roman" w:hAnsi="Times New Roman" w:eastAsia="方正仿宋简体" w:cs="Times New Roman"/>
          <w:b w:val="0"/>
          <w:bCs w:val="0"/>
          <w:color w:val="auto"/>
          <w:kern w:val="0"/>
          <w:sz w:val="32"/>
          <w:szCs w:val="32"/>
          <w:highlight w:val="none"/>
          <w:lang w:val="en-US" w:eastAsia="zh-CN" w:bidi="ar"/>
        </w:rPr>
        <w:t>现场检查2173家次；</w:t>
      </w:r>
      <w:r>
        <w:rPr>
          <w:rFonts w:hint="default" w:ascii="Times New Roman" w:hAnsi="Times New Roman" w:eastAsia="方正仿宋简体" w:cs="Times New Roman"/>
          <w:sz w:val="32"/>
          <w:szCs w:val="32"/>
          <w:highlight w:val="none"/>
          <w:lang w:val="en-US" w:eastAsia="zh-CN"/>
        </w:rPr>
        <w:t>抽检食品、药品等970批次；检查特种设备310台；完善</w:t>
      </w:r>
      <w:r>
        <w:rPr>
          <w:rFonts w:hint="default" w:ascii="Times New Roman" w:hAnsi="Times New Roman" w:eastAsia="方正仿宋简体" w:cs="Times New Roman"/>
          <w:sz w:val="32"/>
          <w:szCs w:val="40"/>
          <w:highlight w:val="none"/>
          <w:lang w:val="en-US" w:eastAsia="zh-CN"/>
        </w:rPr>
        <w:t>金融风险防控</w:t>
      </w:r>
      <w:r>
        <w:rPr>
          <w:rFonts w:hint="default" w:ascii="Times New Roman" w:hAnsi="Times New Roman" w:eastAsia="方正仿宋简体" w:cs="Times New Roman"/>
          <w:sz w:val="32"/>
          <w:szCs w:val="32"/>
          <w:highlight w:val="none"/>
          <w:lang w:val="en-US" w:eastAsia="zh-CN"/>
        </w:rPr>
        <w:t>体系，</w:t>
      </w:r>
      <w:r>
        <w:rPr>
          <w:rFonts w:hint="default" w:ascii="Times New Roman" w:hAnsi="Times New Roman" w:eastAsia="方正仿宋简体" w:cs="Times New Roman"/>
          <w:sz w:val="32"/>
          <w:szCs w:val="40"/>
          <w:highlight w:val="none"/>
          <w:lang w:val="en-US" w:eastAsia="zh-CN"/>
        </w:rPr>
        <w:t>建立“红黄蓝”风险监测预警和分级处置机制；电诈警情同比下降41.97%；道路交通事故亡人数同比下降25%。</w:t>
      </w:r>
    </w:p>
    <w:p w14:paraId="709109BC">
      <w:pPr>
        <w:keepNext w:val="0"/>
        <w:keepLines w:val="0"/>
        <w:pageBreakBefore w:val="0"/>
        <w:widowControl w:val="0"/>
        <w:kinsoku/>
        <w:wordWrap/>
        <w:topLinePunct w:val="0"/>
        <w:autoSpaceDE/>
        <w:autoSpaceDN/>
        <w:bidi w:val="0"/>
        <w:spacing w:line="560" w:lineRule="exact"/>
        <w:ind w:firstLine="640" w:firstLineChars="200"/>
        <w:textAlignment w:val="auto"/>
        <w:rPr>
          <w:rFonts w:hint="default" w:ascii="Times New Roman" w:hAnsi="Times New Roman" w:eastAsia="方正仿宋简体" w:cs="Times New Roman"/>
          <w:sz w:val="32"/>
          <w:szCs w:val="32"/>
          <w:shd w:val="clear" w:color="auto" w:fill="FFFFFF"/>
        </w:rPr>
      </w:pPr>
      <w:r>
        <w:rPr>
          <w:rFonts w:hint="default" w:ascii="Times New Roman" w:hAnsi="Times New Roman" w:eastAsia="方正仿宋简体" w:cs="Times New Roman"/>
          <w:sz w:val="32"/>
          <w:szCs w:val="40"/>
          <w:highlight w:val="none"/>
          <w:lang w:val="en-US" w:eastAsia="zh-CN"/>
        </w:rPr>
        <w:t>上半年，面对错综复杂的内外形势，全区上下团结奋进、攻坚克难，经济社会发展各</w:t>
      </w:r>
      <w:r>
        <w:rPr>
          <w:rFonts w:hint="eastAsia" w:ascii="Times New Roman" w:hAnsi="Times New Roman" w:eastAsia="方正仿宋简体" w:cs="Times New Roman"/>
          <w:sz w:val="32"/>
          <w:szCs w:val="40"/>
          <w:highlight w:val="none"/>
          <w:lang w:val="en-US" w:eastAsia="zh-CN"/>
        </w:rPr>
        <w:t>项工作取得积极成效</w:t>
      </w:r>
      <w:r>
        <w:rPr>
          <w:rFonts w:hint="default" w:ascii="Times New Roman" w:hAnsi="Times New Roman" w:eastAsia="方正仿宋简体" w:cs="Times New Roman"/>
          <w:sz w:val="32"/>
          <w:szCs w:val="40"/>
          <w:highlight w:val="none"/>
          <w:lang w:val="en-US" w:eastAsia="zh-CN"/>
        </w:rPr>
        <w:t>。在肯定成绩的同时，</w:t>
      </w:r>
      <w:r>
        <w:rPr>
          <w:rFonts w:hint="default" w:ascii="Times New Roman" w:hAnsi="Times New Roman" w:eastAsia="方正仿宋简体" w:cs="Times New Roman"/>
          <w:sz w:val="32"/>
          <w:szCs w:val="32"/>
        </w:rPr>
        <w:t>也要</w:t>
      </w:r>
      <w:r>
        <w:rPr>
          <w:rFonts w:hint="default" w:ascii="Times New Roman" w:hAnsi="Times New Roman" w:eastAsia="方正仿宋简体" w:cs="Times New Roman"/>
          <w:sz w:val="32"/>
          <w:szCs w:val="32"/>
          <w:lang w:val="en-US" w:eastAsia="zh-CN"/>
        </w:rPr>
        <w:t>清醒认识到</w:t>
      </w:r>
      <w:r>
        <w:rPr>
          <w:rFonts w:hint="default" w:ascii="Times New Roman" w:hAnsi="Times New Roman" w:eastAsia="方正仿宋简体" w:cs="Times New Roman"/>
          <w:sz w:val="32"/>
          <w:szCs w:val="32"/>
          <w:lang w:eastAsia="zh-CN"/>
        </w:rPr>
        <w:t>，</w:t>
      </w:r>
      <w:r>
        <w:rPr>
          <w:rFonts w:hint="eastAsia" w:ascii="Times New Roman" w:hAnsi="Times New Roman" w:eastAsia="方正仿宋简体" w:cs="Times New Roman"/>
          <w:sz w:val="32"/>
          <w:szCs w:val="32"/>
          <w:lang w:val="en-US" w:eastAsia="zh-CN"/>
        </w:rPr>
        <w:t>经济规模依然偏小，发展质效依然偏低，产业集群效应不够凸显，创新动能还需持续释放；区域协调发展有待优化，优质公共服务供给还要不断加强</w:t>
      </w:r>
      <w:r>
        <w:rPr>
          <w:rFonts w:hint="default" w:ascii="Times New Roman" w:hAnsi="Times New Roman" w:eastAsia="方正仿宋简体" w:cs="Times New Roman"/>
          <w:color w:val="000000"/>
          <w:sz w:val="32"/>
          <w:szCs w:val="32"/>
          <w:lang w:eastAsia="zh-CN"/>
        </w:rPr>
        <w:t>。</w:t>
      </w:r>
      <w:r>
        <w:rPr>
          <w:rFonts w:hint="default" w:ascii="Times New Roman" w:hAnsi="Times New Roman" w:eastAsia="方正仿宋简体" w:cs="Times New Roman"/>
          <w:color w:val="000000"/>
          <w:sz w:val="32"/>
          <w:szCs w:val="32"/>
          <w:lang w:val="en-US" w:eastAsia="zh-CN"/>
        </w:rPr>
        <w:t>针对上述</w:t>
      </w:r>
      <w:r>
        <w:rPr>
          <w:rFonts w:hint="default" w:ascii="Times New Roman" w:hAnsi="Times New Roman" w:eastAsia="方正仿宋简体" w:cs="Times New Roman"/>
          <w:sz w:val="32"/>
          <w:szCs w:val="32"/>
          <w:shd w:val="clear" w:color="auto" w:fill="FFFFFF"/>
        </w:rPr>
        <w:t>问题，</w:t>
      </w:r>
      <w:r>
        <w:rPr>
          <w:rFonts w:hint="default" w:ascii="Times New Roman" w:hAnsi="Times New Roman" w:eastAsia="方正仿宋简体" w:cs="Times New Roman"/>
          <w:sz w:val="32"/>
          <w:szCs w:val="32"/>
          <w:shd w:val="clear" w:color="auto" w:fill="FFFFFF"/>
          <w:lang w:val="en-US" w:eastAsia="zh-CN"/>
        </w:rPr>
        <w:t>我们将系统研究、靶向发力，</w:t>
      </w:r>
      <w:r>
        <w:rPr>
          <w:rFonts w:hint="eastAsia" w:ascii="Times New Roman" w:hAnsi="Times New Roman" w:eastAsia="方正仿宋简体" w:cs="Times New Roman"/>
          <w:sz w:val="32"/>
          <w:szCs w:val="32"/>
          <w:shd w:val="clear" w:color="auto" w:fill="FFFFFF"/>
          <w:lang w:val="en-US" w:eastAsia="zh-CN"/>
        </w:rPr>
        <w:t>采取有力措施切实加以解决</w:t>
      </w:r>
      <w:r>
        <w:rPr>
          <w:rFonts w:hint="default" w:ascii="Times New Roman" w:hAnsi="Times New Roman" w:eastAsia="方正仿宋简体" w:cs="Times New Roman"/>
          <w:sz w:val="32"/>
          <w:szCs w:val="32"/>
          <w:shd w:val="clear" w:color="auto" w:fill="FFFFFF"/>
        </w:rPr>
        <w:t>。</w:t>
      </w:r>
    </w:p>
    <w:p w14:paraId="0B22C6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方正仿宋简体" w:cs="Times New Roman"/>
          <w:sz w:val="32"/>
          <w:szCs w:val="32"/>
          <w:highlight w:val="none"/>
          <w:shd w:val="clear" w:color="auto" w:fill="FFFFFF"/>
        </w:rPr>
      </w:pPr>
      <w:r>
        <w:rPr>
          <w:rFonts w:ascii="Times New Roman" w:hAnsi="Times New Roman" w:eastAsia="方正黑体简体" w:cs="Times New Roman"/>
          <w:sz w:val="32"/>
          <w:szCs w:val="40"/>
          <w:highlight w:val="none"/>
        </w:rPr>
        <w:t>二、下半年工作打算</w:t>
      </w:r>
    </w:p>
    <w:p w14:paraId="15FCC753">
      <w:pPr>
        <w:keepNext w:val="0"/>
        <w:keepLines w:val="0"/>
        <w:pageBreakBefore w:val="0"/>
        <w:widowControl w:val="0"/>
        <w:kinsoku/>
        <w:wordWrap/>
        <w:topLinePunct w:val="0"/>
        <w:autoSpaceDE/>
        <w:autoSpaceDN/>
        <w:bidi w:val="0"/>
        <w:spacing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highlight w:val="none"/>
          <w:lang w:val="en-US" w:eastAsia="zh-CN"/>
        </w:rPr>
        <w:t>下</w:t>
      </w:r>
      <w:r>
        <w:rPr>
          <w:rFonts w:hint="default" w:ascii="Times New Roman" w:hAnsi="Times New Roman" w:eastAsia="方正仿宋简体" w:cs="Times New Roman"/>
          <w:sz w:val="32"/>
          <w:szCs w:val="32"/>
          <w:highlight w:val="none"/>
        </w:rPr>
        <w:t>半年，我们将</w:t>
      </w:r>
      <w:r>
        <w:rPr>
          <w:rFonts w:hint="default" w:ascii="Times New Roman" w:hAnsi="Times New Roman" w:eastAsia="方正仿宋简体" w:cs="Times New Roman"/>
          <w:sz w:val="32"/>
          <w:szCs w:val="32"/>
          <w:highlight w:val="none"/>
          <w:lang w:val="en-US" w:eastAsia="zh-CN"/>
        </w:rPr>
        <w:t>深入</w:t>
      </w:r>
      <w:r>
        <w:rPr>
          <w:rFonts w:hint="default" w:ascii="Times New Roman" w:hAnsi="Times New Roman" w:eastAsia="方正仿宋简体" w:cs="Times New Roman"/>
          <w:sz w:val="32"/>
          <w:szCs w:val="32"/>
          <w:highlight w:val="none"/>
        </w:rPr>
        <w:t>贯彻习近平总书记对江苏工作重要讲话精神，</w:t>
      </w:r>
      <w:r>
        <w:rPr>
          <w:rFonts w:hint="default" w:ascii="Times New Roman" w:hAnsi="Times New Roman" w:eastAsia="方正仿宋简体" w:cs="Times New Roman"/>
          <w:sz w:val="32"/>
          <w:szCs w:val="32"/>
          <w:highlight w:val="none"/>
          <w:shd w:val="clear" w:color="auto" w:fill="FFFFFF"/>
          <w:lang w:val="en-US" w:eastAsia="zh-CN"/>
        </w:rPr>
        <w:t>全面落实中央和省、市关于经济工作的决策部署</w:t>
      </w:r>
      <w:r>
        <w:rPr>
          <w:rFonts w:hint="default" w:ascii="Times New Roman" w:hAnsi="Times New Roman" w:eastAsia="方正仿宋简体" w:cs="Times New Roman"/>
          <w:sz w:val="32"/>
          <w:szCs w:val="32"/>
          <w:highlight w:val="none"/>
          <w:shd w:val="clear" w:color="auto" w:fill="FFFFFF"/>
        </w:rPr>
        <w:t>，落实区第六次党代会</w:t>
      </w:r>
      <w:r>
        <w:rPr>
          <w:rFonts w:hint="eastAsia" w:ascii="Times New Roman" w:hAnsi="Times New Roman" w:eastAsia="方正仿宋简体" w:cs="Times New Roman"/>
          <w:sz w:val="32"/>
          <w:szCs w:val="32"/>
          <w:highlight w:val="none"/>
          <w:shd w:val="clear" w:color="auto" w:fill="FFFFFF"/>
          <w:lang w:val="en-US" w:eastAsia="zh-CN"/>
        </w:rPr>
        <w:t>要求</w:t>
      </w:r>
      <w:r>
        <w:rPr>
          <w:rFonts w:hint="default" w:ascii="Times New Roman" w:hAnsi="Times New Roman" w:eastAsia="方正仿宋简体" w:cs="Times New Roman"/>
          <w:sz w:val="32"/>
          <w:szCs w:val="32"/>
          <w:highlight w:val="none"/>
          <w:shd w:val="clear" w:color="auto" w:fill="FFFFFF"/>
        </w:rPr>
        <w:t>，</w:t>
      </w:r>
      <w:r>
        <w:rPr>
          <w:rFonts w:hint="default" w:ascii="Times New Roman" w:hAnsi="Times New Roman" w:eastAsia="方正仿宋简体" w:cs="Times New Roman"/>
          <w:sz w:val="32"/>
          <w:szCs w:val="32"/>
          <w:highlight w:val="none"/>
          <w:shd w:val="clear" w:color="auto" w:fill="FFFFFF"/>
          <w:lang w:val="en-US" w:eastAsia="zh-CN"/>
        </w:rPr>
        <w:t>牢固树立和践行正确政绩观，锚定“两个千亿”奋斗目标，</w:t>
      </w:r>
      <w:r>
        <w:rPr>
          <w:rFonts w:hint="default" w:ascii="Times New Roman" w:hAnsi="Times New Roman" w:eastAsia="方正仿宋简体" w:cs="Times New Roman"/>
          <w:sz w:val="32"/>
          <w:szCs w:val="32"/>
          <w:highlight w:val="none"/>
          <w:shd w:val="clear" w:color="auto" w:fill="FFFFFF"/>
        </w:rPr>
        <w:t>推进“2442”整体发展布局</w:t>
      </w:r>
      <w:r>
        <w:rPr>
          <w:rFonts w:hint="default" w:ascii="Times New Roman" w:hAnsi="Times New Roman" w:eastAsia="方正仿宋简体" w:cs="Times New Roman"/>
          <w:sz w:val="32"/>
          <w:szCs w:val="32"/>
          <w:highlight w:val="none"/>
          <w:shd w:val="clear" w:color="auto" w:fill="FFFFFF"/>
          <w:lang w:val="en-US" w:eastAsia="zh-CN"/>
        </w:rPr>
        <w:t>，主动</w:t>
      </w:r>
      <w:r>
        <w:rPr>
          <w:rFonts w:hint="default" w:ascii="Times New Roman" w:hAnsi="Times New Roman" w:eastAsia="方正仿宋简体" w:cs="Times New Roman"/>
          <w:sz w:val="32"/>
          <w:szCs w:val="32"/>
          <w:highlight w:val="none"/>
          <w:shd w:val="clear" w:color="auto" w:fill="FFFFFF"/>
        </w:rPr>
        <w:t>融入江北“一体化”</w:t>
      </w:r>
      <w:r>
        <w:rPr>
          <w:rFonts w:hint="default" w:ascii="Times New Roman" w:hAnsi="Times New Roman" w:eastAsia="方正仿宋简体" w:cs="Times New Roman"/>
          <w:sz w:val="32"/>
          <w:szCs w:val="32"/>
          <w:highlight w:val="none"/>
          <w:shd w:val="clear" w:color="auto" w:fill="FFFFFF"/>
          <w:lang w:val="en-US" w:eastAsia="zh-CN"/>
        </w:rPr>
        <w:t>建设</w:t>
      </w:r>
      <w:r>
        <w:rPr>
          <w:rFonts w:hint="default" w:ascii="Times New Roman" w:hAnsi="Times New Roman" w:eastAsia="方正仿宋简体" w:cs="Times New Roman"/>
          <w:sz w:val="32"/>
          <w:szCs w:val="32"/>
          <w:highlight w:val="none"/>
          <w:shd w:val="clear" w:color="auto" w:fill="FFFFFF"/>
        </w:rPr>
        <w:t>，扎实推进产业强区、富民强村各项工作，打造“南京北部重要增长极”。</w:t>
      </w:r>
    </w:p>
    <w:p w14:paraId="30356F26">
      <w:pPr>
        <w:keepNext w:val="0"/>
        <w:keepLines w:val="0"/>
        <w:pageBreakBefore w:val="0"/>
        <w:widowControl w:val="0"/>
        <w:kinsoku/>
        <w:wordWrap/>
        <w:topLinePunct w:val="0"/>
        <w:autoSpaceDE/>
        <w:autoSpaceDN/>
        <w:bidi w:val="0"/>
        <w:spacing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eastAsia" w:ascii="方正楷体简体" w:hAnsi="方正楷体简体" w:eastAsia="方正楷体简体" w:cs="方正楷体简体"/>
          <w:sz w:val="32"/>
          <w:szCs w:val="32"/>
          <w:lang w:val="en-US" w:eastAsia="zh-CN"/>
        </w:rPr>
        <w:t>一是锚定目标任务，</w:t>
      </w:r>
      <w:r>
        <w:rPr>
          <w:rFonts w:hint="eastAsia" w:ascii="方正楷体简体" w:hAnsi="方正楷体简体" w:eastAsia="方正楷体简体" w:cs="方正楷体简体"/>
          <w:sz w:val="32"/>
          <w:szCs w:val="32"/>
          <w:highlight w:val="none"/>
          <w:lang w:val="en-US" w:eastAsia="zh-CN"/>
        </w:rPr>
        <w:t>推动</w:t>
      </w:r>
      <w:r>
        <w:rPr>
          <w:rFonts w:hint="eastAsia" w:ascii="方正楷体简体" w:hAnsi="方正楷体简体" w:eastAsia="方正楷体简体" w:cs="方正楷体简体"/>
          <w:sz w:val="32"/>
          <w:szCs w:val="32"/>
          <w:lang w:val="en-US" w:eastAsia="zh-CN"/>
        </w:rPr>
        <w:t>经济提质增量。</w:t>
      </w:r>
      <w:r>
        <w:rPr>
          <w:rFonts w:hint="eastAsia" w:ascii="Times New Roman" w:hAnsi="Times New Roman" w:eastAsia="方正仿宋简体" w:cs="Times New Roman"/>
          <w:sz w:val="32"/>
          <w:szCs w:val="32"/>
          <w:lang w:val="en-US" w:eastAsia="zh-CN"/>
        </w:rPr>
        <w:t>深入开展经济发展提速增效行动，持续强化投资、消费、外贸拉动作用，多措并举稳增长、稳市场、稳预期；优化工作组织，</w:t>
      </w:r>
      <w:r>
        <w:rPr>
          <w:rFonts w:hint="eastAsia" w:ascii="Times New Roman" w:hAnsi="Times New Roman" w:eastAsia="方正仿宋简体" w:cs="Times New Roman"/>
          <w:sz w:val="32"/>
          <w:szCs w:val="32"/>
          <w:highlight w:val="none"/>
        </w:rPr>
        <w:t>针对经济运行指标、薄弱短板、未完成事项、重点推进项目等，细化攻坚举措，全力攻坚突破</w:t>
      </w:r>
      <w:r>
        <w:rPr>
          <w:rFonts w:hint="eastAsia" w:ascii="Times New Roman" w:hAnsi="Times New Roman" w:eastAsia="方正仿宋简体" w:cs="Times New Roman"/>
          <w:sz w:val="32"/>
          <w:szCs w:val="32"/>
          <w:highlight w:val="none"/>
          <w:lang w:val="en-US" w:eastAsia="zh-CN"/>
        </w:rPr>
        <w:t>；紧盯产业转型、科技创新、改革开放、城乡融合、社会民生等热点领域，</w:t>
      </w:r>
      <w:r>
        <w:rPr>
          <w:rFonts w:hint="eastAsia" w:ascii="Times New Roman" w:hAnsi="Times New Roman" w:eastAsia="方正仿宋简体" w:cs="Times New Roman"/>
          <w:sz w:val="32"/>
          <w:szCs w:val="32"/>
          <w:lang w:val="en-US" w:eastAsia="zh-CN"/>
        </w:rPr>
        <w:t>积极跟进市对区考核半年评估，全面系统盘点指标完成情况，聚焦短板弱项指标</w:t>
      </w:r>
      <w:r>
        <w:rPr>
          <w:rFonts w:ascii="Times New Roman" w:hAnsi="Times New Roman" w:eastAsia="方正仿宋简体" w:cs="Times New Roman"/>
          <w:sz w:val="32"/>
          <w:szCs w:val="32"/>
          <w:highlight w:val="none"/>
        </w:rPr>
        <w:t>以及地区生产总值核算指标</w:t>
      </w:r>
      <w:r>
        <w:rPr>
          <w:rFonts w:hint="eastAsia" w:ascii="Times New Roman" w:hAnsi="Times New Roman" w:eastAsia="方正仿宋简体" w:cs="Times New Roman"/>
          <w:sz w:val="32"/>
          <w:szCs w:val="32"/>
          <w:highlight w:val="none"/>
          <w:lang w:eastAsia="zh-CN"/>
        </w:rPr>
        <w:t>，</w:t>
      </w:r>
      <w:r>
        <w:rPr>
          <w:rFonts w:ascii="Times New Roman" w:hAnsi="Times New Roman" w:eastAsia="方正仿宋简体" w:cs="Times New Roman"/>
          <w:sz w:val="32"/>
          <w:szCs w:val="32"/>
          <w:highlight w:val="none"/>
        </w:rPr>
        <w:t>采取切实有效措施，确保高质量完成计划目标</w:t>
      </w:r>
      <w:r>
        <w:rPr>
          <w:rFonts w:hint="eastAsia" w:ascii="Times New Roman" w:hAnsi="Times New Roman" w:eastAsia="方正仿宋简体" w:cs="Times New Roman"/>
          <w:sz w:val="32"/>
          <w:szCs w:val="32"/>
          <w:highlight w:val="none"/>
          <w:lang w:val="en-US" w:eastAsia="zh-CN"/>
        </w:rPr>
        <w:t>任务</w:t>
      </w:r>
      <w:r>
        <w:rPr>
          <w:rFonts w:ascii="Times New Roman" w:hAnsi="Times New Roman" w:eastAsia="方正仿宋简体" w:cs="Times New Roman"/>
          <w:sz w:val="32"/>
          <w:szCs w:val="32"/>
          <w:highlight w:val="none"/>
        </w:rPr>
        <w:t>。</w:t>
      </w:r>
    </w:p>
    <w:p w14:paraId="3E8697C4">
      <w:pPr>
        <w:keepNext w:val="0"/>
        <w:keepLines w:val="0"/>
        <w:pageBreakBefore w:val="0"/>
        <w:widowControl w:val="0"/>
        <w:kinsoku/>
        <w:wordWrap/>
        <w:topLinePunct w:val="0"/>
        <w:autoSpaceDE/>
        <w:autoSpaceDN/>
        <w:bidi w:val="0"/>
        <w:spacing w:line="560" w:lineRule="exact"/>
        <w:ind w:firstLine="640" w:firstLineChars="200"/>
        <w:textAlignment w:val="auto"/>
        <w:rPr>
          <w:rFonts w:hint="eastAsia" w:ascii="Times New Roman" w:hAnsi="Times New Roman" w:eastAsia="方正仿宋简体" w:cs="Times New Roman"/>
          <w:sz w:val="32"/>
          <w:szCs w:val="32"/>
          <w:lang w:val="en-US" w:eastAsia="zh-CN"/>
        </w:rPr>
      </w:pPr>
      <w:r>
        <w:rPr>
          <w:rFonts w:hint="eastAsia" w:ascii="方正楷体简体" w:hAnsi="方正楷体简体" w:eastAsia="方正楷体简体" w:cs="方正楷体简体"/>
          <w:sz w:val="32"/>
          <w:szCs w:val="32"/>
          <w:lang w:val="en-US" w:eastAsia="zh-CN"/>
        </w:rPr>
        <w:t>二是加速科产融合，培育科创新质动能。</w:t>
      </w:r>
      <w:r>
        <w:rPr>
          <w:rFonts w:hint="default" w:ascii="Times New Roman" w:hAnsi="Times New Roman" w:eastAsia="方正仿宋简体" w:cs="Times New Roman"/>
          <w:sz w:val="32"/>
          <w:szCs w:val="32"/>
          <w:lang w:val="en-US" w:eastAsia="zh-CN"/>
        </w:rPr>
        <w:t>深化“大学+产业+园区”融合，持续加强校地企务实合作，推动航空航天、智能制造等领域成果就地转化</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加快推进“空天创造走廊”建设，</w:t>
      </w:r>
      <w:r>
        <w:rPr>
          <w:rFonts w:hint="eastAsia" w:ascii="Times New Roman" w:hAnsi="Times New Roman" w:eastAsia="方正仿宋简体" w:cs="Times New Roman"/>
          <w:sz w:val="32"/>
          <w:szCs w:val="32"/>
          <w:lang w:val="en-US" w:eastAsia="zh-CN"/>
        </w:rPr>
        <w:t>支持17家智能制造类全国重点实验室联盟更好发挥作用、实质化运行；深入实施科技型企业梯次培育计划，做好瞪羚、独角兽（</w:t>
      </w:r>
      <w:r>
        <w:rPr>
          <w:rFonts w:hint="eastAsia" w:ascii="方正楷体简体" w:hAnsi="方正楷体简体" w:eastAsia="方正楷体简体" w:cs="方正楷体简体"/>
          <w:sz w:val="32"/>
          <w:szCs w:val="32"/>
          <w:lang w:val="en-US" w:eastAsia="zh-CN"/>
        </w:rPr>
        <w:t>潜在独角兽</w:t>
      </w:r>
      <w:r>
        <w:rPr>
          <w:rFonts w:hint="eastAsia" w:ascii="Times New Roman" w:hAnsi="Times New Roman" w:eastAsia="方正仿宋简体" w:cs="Times New Roman"/>
          <w:sz w:val="32"/>
          <w:szCs w:val="32"/>
          <w:lang w:val="en-US" w:eastAsia="zh-CN"/>
        </w:rPr>
        <w:t>）企业申报培育及领军企业前瞻储备，推动国轩、瑞为等骨干企业申报市新锐企业，力争</w:t>
      </w:r>
      <w:r>
        <w:rPr>
          <w:rFonts w:hint="default" w:ascii="Times New Roman" w:hAnsi="Times New Roman" w:eastAsia="方正仿宋简体" w:cs="Times New Roman"/>
          <w:sz w:val="32"/>
          <w:szCs w:val="32"/>
          <w:lang w:val="en-US" w:eastAsia="zh-CN"/>
        </w:rPr>
        <w:t>高企认定数达130家</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实施好“应用标杆”“揭榜挂帅”项目</w:t>
      </w:r>
      <w:r>
        <w:rPr>
          <w:rFonts w:hint="eastAsia" w:ascii="Times New Roman" w:hAnsi="Times New Roman" w:eastAsia="方正仿宋简体" w:cs="Times New Roman"/>
          <w:sz w:val="32"/>
          <w:szCs w:val="32"/>
          <w:lang w:val="en-US" w:eastAsia="zh-CN"/>
        </w:rPr>
        <w:t>，全年遴选重点研发项目不少于3个、评选应用标杆项目不少于2个；</w:t>
      </w:r>
      <w:r>
        <w:rPr>
          <w:rFonts w:hint="eastAsia" w:ascii="方正仿宋简体" w:hAnsi="方正仿宋简体" w:eastAsia="方正仿宋简体" w:cs="方正仿宋简体"/>
          <w:sz w:val="32"/>
          <w:szCs w:val="32"/>
          <w:lang w:val="en-US" w:eastAsia="zh-CN"/>
        </w:rPr>
        <w:t>推</w:t>
      </w:r>
      <w:r>
        <w:rPr>
          <w:rFonts w:hint="eastAsia" w:ascii="Times New Roman" w:hAnsi="Times New Roman" w:eastAsia="方正仿宋简体" w:cs="Times New Roman"/>
          <w:sz w:val="32"/>
          <w:szCs w:val="32"/>
          <w:lang w:val="en-US" w:eastAsia="zh-CN"/>
        </w:rPr>
        <w:t>动科创载体提档升级</w:t>
      </w:r>
      <w:r>
        <w:rPr>
          <w:rFonts w:hint="default" w:ascii="Times New Roman" w:hAnsi="Times New Roman" w:eastAsia="方正仿宋简体" w:cs="Times New Roman"/>
          <w:sz w:val="32"/>
          <w:szCs w:val="32"/>
          <w:lang w:val="en-US" w:eastAsia="zh-CN"/>
        </w:rPr>
        <w:t>，支持</w:t>
      </w:r>
      <w:r>
        <w:rPr>
          <w:rFonts w:hint="default" w:ascii="Times New Roman" w:hAnsi="Times New Roman" w:eastAsia="方正仿宋简体" w:cs="Times New Roman"/>
          <w:b w:val="0"/>
          <w:bCs w:val="0"/>
          <w:color w:val="auto"/>
          <w:sz w:val="32"/>
          <w:szCs w:val="32"/>
          <w:highlight w:val="none"/>
          <w:u w:val="none"/>
          <w:lang w:val="en-US" w:eastAsia="zh-CN"/>
        </w:rPr>
        <w:t>郑州大学江苏研究院</w:t>
      </w:r>
      <w:r>
        <w:rPr>
          <w:rFonts w:hint="eastAsia" w:ascii="Times New Roman" w:hAnsi="Times New Roman" w:eastAsia="方正仿宋简体" w:cs="Times New Roman"/>
          <w:sz w:val="32"/>
          <w:szCs w:val="32"/>
          <w:lang w:val="en-US" w:eastAsia="zh-CN"/>
        </w:rPr>
        <w:t>高质量建设</w:t>
      </w:r>
      <w:r>
        <w:rPr>
          <w:rFonts w:hint="default" w:ascii="Times New Roman" w:hAnsi="Times New Roman" w:eastAsia="方正仿宋简体" w:cs="Times New Roman"/>
          <w:sz w:val="32"/>
          <w:szCs w:val="32"/>
          <w:lang w:val="en-US" w:eastAsia="zh-CN"/>
        </w:rPr>
        <w:t>，推动国电电力金具等企业争创市级概念验证中心</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rPr>
        <w:t>加快国家高端精密数控机床领域创新中心申报创建进程</w:t>
      </w:r>
      <w:r>
        <w:rPr>
          <w:rFonts w:hint="default" w:ascii="Times New Roman" w:hAnsi="Times New Roman" w:eastAsia="方正仿宋简体" w:cs="Times New Roman"/>
          <w:sz w:val="32"/>
          <w:szCs w:val="32"/>
          <w:lang w:eastAsia="zh-CN"/>
        </w:rPr>
        <w:t>；推动南航国际创新港、新华职校等入驻，全力服务保障星河动力，力争年内实现“六合造”智神星二号火箭下线；</w:t>
      </w:r>
      <w:r>
        <w:rPr>
          <w:rFonts w:hint="default" w:ascii="Times New Roman" w:hAnsi="Times New Roman" w:eastAsia="方正仿宋简体" w:cs="Times New Roman"/>
          <w:sz w:val="32"/>
          <w:szCs w:val="32"/>
          <w:lang w:val="en-US" w:eastAsia="zh-CN"/>
        </w:rPr>
        <w:t>抓好高端人才引育，实施“菁苗”行动，推动重点人才项目申报，以人才集聚引领产业升级。</w:t>
      </w:r>
    </w:p>
    <w:p w14:paraId="3850355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方正仿宋简体" w:cs="Times New Roman"/>
          <w:b w:val="0"/>
          <w:bCs w:val="0"/>
          <w:spacing w:val="5"/>
          <w:sz w:val="32"/>
          <w:szCs w:val="32"/>
          <w:lang w:val="en-US" w:eastAsia="zh-CN"/>
        </w:rPr>
      </w:pPr>
      <w:r>
        <w:rPr>
          <w:rFonts w:hint="eastAsia" w:ascii="方正楷体简体" w:hAnsi="方正楷体简体" w:eastAsia="方正楷体简体" w:cs="方正楷体简体"/>
          <w:sz w:val="32"/>
          <w:szCs w:val="32"/>
          <w:lang w:val="en-US" w:eastAsia="zh-CN"/>
        </w:rPr>
        <w:t>三是聚力招商攻坚，加快推进项目建设。</w:t>
      </w:r>
      <w:r>
        <w:rPr>
          <w:rFonts w:hint="default" w:ascii="Times New Roman" w:hAnsi="Times New Roman" w:eastAsia="方正仿宋简体" w:cs="Times New Roman"/>
          <w:b w:val="0"/>
          <w:kern w:val="2"/>
          <w:sz w:val="32"/>
          <w:szCs w:val="32"/>
          <w:highlight w:val="none"/>
          <w:u w:val="none"/>
          <w:lang w:val="en-US" w:eastAsia="zh-CN" w:bidi="ar"/>
        </w:rPr>
        <w:t>锚定“新材智航、软硬结合”产业发展方向，</w:t>
      </w:r>
      <w:r>
        <w:rPr>
          <w:rFonts w:hint="default" w:ascii="Times New Roman" w:hAnsi="Times New Roman" w:eastAsia="方正仿宋简体" w:cs="Times New Roman"/>
          <w:color w:val="auto"/>
          <w:sz w:val="32"/>
          <w:szCs w:val="32"/>
          <w:highlight w:val="none"/>
          <w:lang w:val="en-US" w:eastAsia="zh-CN"/>
        </w:rPr>
        <w:t>有效发挥“六大战区”统筹协调作用，落实“战区统筹、板块主战、部门支撑”的企业服务与招商一体化协同机制，依托六合区企业综合服务中心、创新创业服务中心平台功能，为项目招商提供精准服务，围绕产业链薄弱环节，形成定向招引合力</w:t>
      </w:r>
      <w:r>
        <w:rPr>
          <w:rFonts w:hint="default" w:ascii="Times New Roman" w:hAnsi="Times New Roman" w:eastAsia="方正仿宋简体" w:cs="Times New Roman"/>
          <w:color w:val="auto"/>
          <w:sz w:val="32"/>
          <w:szCs w:val="32"/>
          <w:highlight w:val="none"/>
          <w:lang w:eastAsia="zh-CN"/>
        </w:rPr>
        <w:t>；</w:t>
      </w:r>
      <w:r>
        <w:rPr>
          <w:rFonts w:hint="default" w:ascii="Times New Roman" w:hAnsi="Times New Roman" w:eastAsia="方正仿宋简体" w:cs="Times New Roman"/>
          <w:sz w:val="32"/>
          <w:szCs w:val="32"/>
        </w:rPr>
        <w:t>狠抓重大项目推进，统筹实施流程套办、并联审批，最大限度压缩手续办理周期</w:t>
      </w:r>
      <w:r>
        <w:rPr>
          <w:rFonts w:hint="default" w:ascii="Times New Roman" w:hAnsi="Times New Roman" w:eastAsia="方正仿宋简体" w:cs="Times New Roman"/>
          <w:sz w:val="32"/>
          <w:szCs w:val="32"/>
          <w:lang w:eastAsia="zh-CN"/>
        </w:rPr>
        <w:t>；做好重大项目中期调整，提前梳排2027年重大项目建设计划；</w:t>
      </w:r>
      <w:r>
        <w:rPr>
          <w:rFonts w:hint="default" w:ascii="Times New Roman" w:hAnsi="Times New Roman" w:eastAsia="方正仿宋简体" w:cs="Times New Roman"/>
          <w:sz w:val="32"/>
          <w:szCs w:val="32"/>
        </w:rPr>
        <w:t>推动金韦尔、曼易迪等新项目开工，加快嵘辉数控机床、嘉美服饰等在建项目建设，确保35个</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双百工程</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项目实施率100%</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持续优化完善企业梯度培育库，力争新增一批国家级、省级</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专精特新</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企业</w:t>
      </w:r>
      <w:r>
        <w:rPr>
          <w:rFonts w:hint="eastAsia"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推动利德东方、盛世精密等企业申报国家卓越级智能工厂</w:t>
      </w:r>
      <w:r>
        <w:rPr>
          <w:rFonts w:hint="eastAsia" w:ascii="Times New Roman" w:hAnsi="Times New Roman" w:eastAsia="方正仿宋简体" w:cs="Times New Roman"/>
          <w:sz w:val="32"/>
          <w:szCs w:val="32"/>
          <w:lang w:eastAsia="zh-CN"/>
        </w:rPr>
        <w:t>；</w:t>
      </w:r>
      <w:r>
        <w:rPr>
          <w:rFonts w:hint="eastAsia" w:ascii="Times New Roman" w:hAnsi="Times New Roman" w:eastAsia="方正仿宋简体" w:cs="Times New Roman"/>
          <w:sz w:val="32"/>
          <w:szCs w:val="32"/>
          <w:lang w:val="en-US" w:eastAsia="zh-CN"/>
        </w:rPr>
        <w:t>提升</w:t>
      </w:r>
      <w:r>
        <w:rPr>
          <w:rFonts w:hint="default" w:ascii="Times New Roman" w:hAnsi="Times New Roman" w:eastAsia="方正仿宋简体" w:cs="Times New Roman"/>
          <w:sz w:val="32"/>
          <w:szCs w:val="32"/>
          <w:lang w:val="en-US" w:eastAsia="zh-CN"/>
        </w:rPr>
        <w:t>数字经济产业能级</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b w:val="0"/>
          <w:bCs w:val="0"/>
          <w:spacing w:val="5"/>
          <w:sz w:val="32"/>
          <w:szCs w:val="32"/>
          <w:lang w:val="en-US" w:eastAsia="zh-CN"/>
        </w:rPr>
        <w:t>持续打造数据产品，强化数据产业招引培育</w:t>
      </w:r>
      <w:r>
        <w:rPr>
          <w:rFonts w:hint="eastAsia" w:ascii="Times New Roman" w:hAnsi="Times New Roman" w:eastAsia="方正仿宋简体" w:cs="Times New Roman"/>
          <w:b w:val="0"/>
          <w:bCs w:val="0"/>
          <w:spacing w:val="5"/>
          <w:sz w:val="32"/>
          <w:szCs w:val="32"/>
          <w:lang w:val="en-US" w:eastAsia="zh-CN"/>
        </w:rPr>
        <w:t>，</w:t>
      </w:r>
      <w:r>
        <w:rPr>
          <w:rFonts w:hint="default" w:ascii="Times New Roman" w:hAnsi="Times New Roman" w:eastAsia="方正仿宋简体" w:cs="Times New Roman"/>
          <w:sz w:val="32"/>
          <w:szCs w:val="32"/>
        </w:rPr>
        <w:t>实施</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人工智能+</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行动，提速OPC社区运营筹备</w:t>
      </w:r>
      <w:r>
        <w:rPr>
          <w:rFonts w:hint="eastAsia" w:ascii="Times New Roman" w:hAnsi="Times New Roman" w:eastAsia="方正仿宋简体" w:cs="Times New Roman"/>
          <w:b w:val="0"/>
          <w:bCs w:val="0"/>
          <w:spacing w:val="5"/>
          <w:sz w:val="32"/>
          <w:szCs w:val="32"/>
          <w:lang w:val="en-US" w:eastAsia="zh-CN"/>
        </w:rPr>
        <w:t>；</w:t>
      </w:r>
      <w:r>
        <w:rPr>
          <w:rFonts w:hint="default" w:ascii="Times New Roman" w:hAnsi="Times New Roman" w:eastAsia="方正仿宋简体" w:cs="Times New Roman"/>
          <w:sz w:val="32"/>
          <w:szCs w:val="32"/>
          <w:lang w:val="en-US" w:eastAsia="zh-CN"/>
        </w:rPr>
        <w:t>全力完成闲置土地处置和</w:t>
      </w:r>
      <w:r>
        <w:rPr>
          <w:rFonts w:hint="default" w:ascii="Times New Roman" w:hAnsi="Times New Roman" w:eastAsia="方正仿宋简体" w:cs="Times New Roman"/>
          <w:color w:val="auto"/>
          <w:sz w:val="32"/>
          <w:szCs w:val="32"/>
          <w:lang w:val="en-US" w:eastAsia="zh-CN"/>
        </w:rPr>
        <w:t>1120亩低效用地再开发</w:t>
      </w:r>
      <w:r>
        <w:rPr>
          <w:rFonts w:hint="default" w:ascii="Times New Roman" w:hAnsi="Times New Roman" w:eastAsia="方正仿宋简体" w:cs="Times New Roman"/>
          <w:b w:val="0"/>
          <w:sz w:val="32"/>
          <w:szCs w:val="32"/>
        </w:rPr>
        <w:t>，最大限度释放土地资源活力。</w:t>
      </w:r>
    </w:p>
    <w:p w14:paraId="4750946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方正仿宋简体" w:cs="Times New Roman"/>
          <w:color w:val="auto"/>
          <w:kern w:val="2"/>
          <w:sz w:val="32"/>
          <w:szCs w:val="32"/>
          <w:highlight w:val="none"/>
          <w:u w:val="none" w:color="auto"/>
          <w:lang w:val="en-US" w:eastAsia="zh-CN" w:bidi="ar-SA"/>
        </w:rPr>
      </w:pPr>
      <w:r>
        <w:rPr>
          <w:rFonts w:hint="eastAsia" w:ascii="方正楷体简体" w:hAnsi="方正楷体简体" w:eastAsia="方正楷体简体" w:cs="方正楷体简体"/>
          <w:sz w:val="32"/>
          <w:szCs w:val="32"/>
          <w:lang w:val="en-US" w:eastAsia="zh-CN"/>
        </w:rPr>
        <w:t>四是深耕农商文旅，释放全域消费活力。</w:t>
      </w:r>
      <w:r>
        <w:rPr>
          <w:rFonts w:hint="default" w:ascii="Times New Roman" w:hAnsi="Times New Roman" w:eastAsia="方正仿宋简体" w:cs="Times New Roman"/>
          <w:kern w:val="2"/>
          <w:sz w:val="32"/>
          <w:szCs w:val="32"/>
          <w:lang w:val="en-US" w:eastAsia="zh-CN" w:bidi="ar-SA"/>
        </w:rPr>
        <w:t>推进实施“365”工作法，依托生态田园战区，大力发展农业新质生产力，培育打造一批区域绿色发展、特色发展品牌</w:t>
      </w:r>
      <w:r>
        <w:rPr>
          <w:rFonts w:hint="eastAsia" w:ascii="Times New Roman" w:hAnsi="Times New Roman" w:eastAsia="方正仿宋简体" w:cs="Times New Roman"/>
          <w:kern w:val="2"/>
          <w:sz w:val="32"/>
          <w:szCs w:val="32"/>
          <w:lang w:val="en-US" w:eastAsia="zh-CN" w:bidi="ar-SA"/>
        </w:rPr>
        <w:t>；</w:t>
      </w:r>
      <w:r>
        <w:rPr>
          <w:rFonts w:hint="default" w:ascii="Times New Roman" w:hAnsi="Times New Roman" w:eastAsia="方正仿宋简体" w:cs="Times New Roman"/>
          <w:kern w:val="2"/>
          <w:sz w:val="32"/>
          <w:szCs w:val="32"/>
          <w:lang w:val="en-US" w:eastAsia="zh-CN" w:bidi="ar-SA"/>
        </w:rPr>
        <w:t>加快推进新建和改造高标准农田3.36万亩，提升农田基础设施水平；健全完善“2+2+2”全产业链发展模式，做大做强鸽业、肉鸡优势产业，新建蔬菜园艺“四新”集成示范点1个以上</w:t>
      </w:r>
      <w:r>
        <w:rPr>
          <w:rFonts w:hint="eastAsia" w:ascii="Times New Roman" w:hAnsi="Times New Roman" w:eastAsia="方正仿宋简体" w:cs="Times New Roman"/>
          <w:kern w:val="2"/>
          <w:sz w:val="32"/>
          <w:szCs w:val="32"/>
          <w:lang w:val="en-US" w:eastAsia="zh-CN" w:bidi="ar-SA"/>
        </w:rPr>
        <w:t>；加快</w:t>
      </w:r>
      <w:r>
        <w:rPr>
          <w:rFonts w:hint="default" w:ascii="Times New Roman" w:hAnsi="Times New Roman" w:eastAsia="方正仿宋简体" w:cs="Times New Roman"/>
          <w:kern w:val="2"/>
          <w:sz w:val="32"/>
          <w:szCs w:val="32"/>
          <w:lang w:val="en-US" w:eastAsia="zh-CN" w:bidi="ar-SA"/>
        </w:rPr>
        <w:t>实施13个农文旅融合提升类项目，发展一批乡村旅游景点</w:t>
      </w:r>
      <w:r>
        <w:rPr>
          <w:rFonts w:hint="default" w:ascii="Times New Roman" w:hAnsi="Times New Roman" w:eastAsia="方正仿宋简体" w:cs="Times New Roman"/>
          <w:b w:val="0"/>
          <w:sz w:val="32"/>
          <w:szCs w:val="32"/>
          <w:lang w:val="en-US" w:eastAsia="zh-CN"/>
        </w:rPr>
        <w:t>，推动金牛湖旅游度假区持续提质升级；推进《六合民歌》申报国家级非遗工作，以塑造“茉莉画乡、食全石美”主题IP为牵引，持续办好“茉莉花”文化旅游系列活动，加强茉莉花大剧院招商；加快平山民宿、灵岩山林场等闲置资产盘活，</w:t>
      </w:r>
      <w:r>
        <w:rPr>
          <w:rFonts w:hint="default" w:ascii="Times New Roman" w:hAnsi="Times New Roman" w:eastAsia="方正仿宋简体" w:cs="Times New Roman"/>
          <w:color w:val="auto"/>
          <w:kern w:val="2"/>
          <w:sz w:val="32"/>
          <w:szCs w:val="32"/>
          <w:highlight w:val="none"/>
          <w:u w:val="none" w:color="auto"/>
          <w:lang w:val="en-US" w:eastAsia="zh-CN" w:bidi="ar-SA"/>
        </w:rPr>
        <w:t>串联冶山农民画、金牛湖等特色点位，打造融合消费场景与研学线路</w:t>
      </w:r>
      <w:r>
        <w:rPr>
          <w:rFonts w:hint="eastAsia" w:ascii="Times New Roman" w:hAnsi="Times New Roman" w:eastAsia="方正仿宋简体" w:cs="Times New Roman"/>
          <w:color w:val="auto"/>
          <w:kern w:val="2"/>
          <w:sz w:val="32"/>
          <w:szCs w:val="32"/>
          <w:highlight w:val="none"/>
          <w:u w:val="none" w:color="auto"/>
          <w:lang w:val="en-US" w:eastAsia="zh-CN" w:bidi="ar-SA"/>
        </w:rPr>
        <w:t>；</w:t>
      </w:r>
      <w:r>
        <w:rPr>
          <w:rFonts w:hint="default" w:ascii="Times New Roman" w:hAnsi="Times New Roman" w:eastAsia="方正仿宋简体" w:cs="Times New Roman"/>
          <w:color w:val="auto"/>
          <w:kern w:val="2"/>
          <w:sz w:val="32"/>
          <w:szCs w:val="32"/>
          <w:highlight w:val="none"/>
          <w:u w:val="none" w:color="auto"/>
          <w:lang w:val="en-US" w:eastAsia="zh-CN" w:bidi="ar-SA"/>
        </w:rPr>
        <w:t>深耕“茉莉嗨购”促消费品牌，积极发展主题市集、夜间演艺等业态，做强夜间经济集聚区，持续激活全域消费潜力。</w:t>
      </w:r>
    </w:p>
    <w:p w14:paraId="58188ED5">
      <w:pPr>
        <w:pStyle w:val="8"/>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560" w:lineRule="exact"/>
        <w:ind w:firstLine="640" w:firstLineChars="200"/>
        <w:jc w:val="both"/>
        <w:textAlignment w:val="auto"/>
        <w:rPr>
          <w:rFonts w:hint="eastAsia" w:ascii="Times New Roman" w:hAnsi="Times New Roman" w:eastAsia="方正楷体简体" w:cs="Times New Roman"/>
          <w:kern w:val="2"/>
          <w:sz w:val="32"/>
          <w:szCs w:val="32"/>
          <w:lang w:val="en-US" w:eastAsia="zh-CN" w:bidi="ar-SA"/>
        </w:rPr>
      </w:pPr>
      <w:r>
        <w:rPr>
          <w:rFonts w:hint="eastAsia" w:ascii="方正楷体简体" w:hAnsi="方正楷体简体" w:eastAsia="方正楷体简体" w:cs="方正楷体简体"/>
          <w:kern w:val="2"/>
          <w:sz w:val="32"/>
          <w:szCs w:val="32"/>
          <w:lang w:val="en-US" w:eastAsia="zh-CN" w:bidi="ar-SA"/>
        </w:rPr>
        <w:t>五是深化改革赋能，打造一流营商环境。</w:t>
      </w:r>
      <w:r>
        <w:rPr>
          <w:rFonts w:hint="eastAsia" w:ascii="方正仿宋简体" w:hAnsi="方正仿宋简体" w:eastAsia="方正仿宋简体" w:cs="方正仿宋简体"/>
          <w:sz w:val="32"/>
          <w:szCs w:val="32"/>
          <w:lang w:eastAsia="zh-CN"/>
        </w:rPr>
        <w:t>深化重点领域体制机制改革，持续推进事业单位改革各项准备工作</w:t>
      </w:r>
      <w:r>
        <w:rPr>
          <w:rFonts w:hint="eastAsia" w:ascii="方正仿宋简体" w:hAnsi="方正仿宋简体" w:eastAsia="方正仿宋简体" w:cs="方正仿宋简体"/>
          <w:sz w:val="32"/>
          <w:szCs w:val="32"/>
          <w:lang w:val="en-US" w:eastAsia="zh-CN"/>
        </w:rPr>
        <w:t>；</w:t>
      </w:r>
      <w:r>
        <w:rPr>
          <w:rFonts w:hint="default" w:ascii="Times New Roman" w:hAnsi="Times New Roman" w:eastAsia="方正仿宋简体" w:cs="Times New Roman"/>
          <w:sz w:val="32"/>
          <w:szCs w:val="32"/>
          <w:u w:val="none"/>
          <w:lang w:val="en-US" w:eastAsia="zh-CN"/>
        </w:rPr>
        <w:t>深化医药卫生体制改革</w:t>
      </w:r>
      <w:r>
        <w:rPr>
          <w:rFonts w:hint="eastAsia" w:ascii="Times New Roman" w:hAnsi="Times New Roman" w:eastAsia="方正仿宋简体" w:cs="Times New Roman"/>
          <w:sz w:val="32"/>
          <w:szCs w:val="32"/>
          <w:u w:val="none"/>
          <w:lang w:val="en-US" w:eastAsia="zh-CN"/>
        </w:rPr>
        <w:t>，</w:t>
      </w:r>
      <w:r>
        <w:rPr>
          <w:rFonts w:ascii="Times New Roman" w:hAnsi="Times New Roman" w:eastAsia="方正仿宋简体" w:cs="Times New Roman"/>
          <w:sz w:val="32"/>
          <w:szCs w:val="32"/>
        </w:rPr>
        <w:t>推动医保“智捷付”“刷脸”支付、药品追溯码全面应用</w:t>
      </w:r>
      <w:r>
        <w:rPr>
          <w:rFonts w:hint="default" w:ascii="Times New Roman" w:hAnsi="Times New Roman" w:eastAsia="方正仿宋简体" w:cs="Times New Roman"/>
          <w:b w:val="0"/>
          <w:bCs w:val="0"/>
          <w:snapToGrid w:val="0"/>
          <w:color w:val="auto"/>
          <w:sz w:val="32"/>
          <w:szCs w:val="32"/>
          <w:lang w:val="en-US" w:eastAsia="zh-CN"/>
        </w:rPr>
        <w:t>，规范开展医药集采</w:t>
      </w:r>
      <w:r>
        <w:rPr>
          <w:rFonts w:hint="eastAsia" w:ascii="Times New Roman" w:hAnsi="Times New Roman" w:eastAsia="方正仿宋简体" w:cs="Times New Roman"/>
          <w:b w:val="0"/>
          <w:bCs w:val="0"/>
          <w:snapToGrid w:val="0"/>
          <w:color w:val="auto"/>
          <w:sz w:val="32"/>
          <w:szCs w:val="32"/>
          <w:lang w:val="en-US" w:eastAsia="zh-CN"/>
        </w:rPr>
        <w:t>；</w:t>
      </w:r>
      <w:r>
        <w:rPr>
          <w:rFonts w:hint="eastAsia" w:ascii="方正仿宋简体" w:hAnsi="方正仿宋简体" w:eastAsia="方正仿宋简体" w:cs="方正仿宋简体"/>
          <w:kern w:val="2"/>
          <w:sz w:val="32"/>
          <w:szCs w:val="32"/>
          <w:lang w:val="en-US" w:eastAsia="zh-CN" w:bidi="ar"/>
        </w:rPr>
        <w:t>持</w:t>
      </w:r>
      <w:r>
        <w:rPr>
          <w:rFonts w:hint="default" w:ascii="Times New Roman" w:hAnsi="Times New Roman" w:eastAsia="方正仿宋简体" w:cs="Times New Roman"/>
          <w:kern w:val="2"/>
          <w:sz w:val="32"/>
          <w:szCs w:val="32"/>
          <w:lang w:val="en-US" w:eastAsia="zh-CN" w:bidi="ar"/>
        </w:rPr>
        <w:t>续开展“将心比心 换位跑流程”行</w:t>
      </w:r>
      <w:r>
        <w:rPr>
          <w:rFonts w:hint="default" w:ascii="Times New Roman" w:hAnsi="Times New Roman" w:eastAsia="方正仿宋简体" w:cs="Times New Roman"/>
          <w:b w:val="0"/>
          <w:bCs w:val="0"/>
          <w:snapToGrid w:val="0"/>
          <w:color w:val="auto"/>
          <w:sz w:val="32"/>
          <w:szCs w:val="32"/>
          <w:lang w:val="en-US" w:eastAsia="zh-CN"/>
        </w:rPr>
        <w:t>动、“三有三找”治理模式、“合一次”涉企检查机制等改革探索，加速政务服务数字化转型</w:t>
      </w:r>
      <w:r>
        <w:rPr>
          <w:rFonts w:hint="eastAsia" w:ascii="Times New Roman" w:hAnsi="Times New Roman" w:eastAsia="方正仿宋简体" w:cs="Times New Roman"/>
          <w:b w:val="0"/>
          <w:bCs w:val="0"/>
          <w:snapToGrid w:val="0"/>
          <w:color w:val="auto"/>
          <w:sz w:val="32"/>
          <w:szCs w:val="32"/>
          <w:lang w:val="en-US" w:eastAsia="zh-CN"/>
        </w:rPr>
        <w:t>，</w:t>
      </w:r>
      <w:r>
        <w:rPr>
          <w:rFonts w:hint="default" w:ascii="Times New Roman" w:hAnsi="Times New Roman" w:eastAsia="方正仿宋简体" w:cs="Times New Roman"/>
          <w:b w:val="0"/>
          <w:bCs w:val="0"/>
          <w:snapToGrid w:val="0"/>
          <w:color w:val="auto"/>
          <w:sz w:val="32"/>
          <w:szCs w:val="32"/>
          <w:lang w:val="en-US" w:eastAsia="zh-CN"/>
        </w:rPr>
        <w:t>拓展产业链“一类事”增值服务</w:t>
      </w:r>
      <w:r>
        <w:rPr>
          <w:rFonts w:hint="eastAsia" w:ascii="Times New Roman" w:hAnsi="Times New Roman" w:eastAsia="方正仿宋简体" w:cs="Times New Roman"/>
          <w:b w:val="0"/>
          <w:bCs w:val="0"/>
          <w:snapToGrid w:val="0"/>
          <w:color w:val="auto"/>
          <w:sz w:val="32"/>
          <w:szCs w:val="32"/>
          <w:lang w:val="en-US" w:eastAsia="zh-CN"/>
        </w:rPr>
        <w:t>；</w:t>
      </w:r>
      <w:r>
        <w:rPr>
          <w:rFonts w:hint="default" w:ascii="Times New Roman" w:hAnsi="Times New Roman" w:eastAsia="方正仿宋简体" w:cs="Times New Roman"/>
          <w:color w:val="auto"/>
          <w:kern w:val="2"/>
          <w:sz w:val="32"/>
          <w:szCs w:val="32"/>
          <w:shd w:val="clear" w:color="auto" w:fill="auto"/>
          <w:lang w:val="en-US" w:eastAsia="zh-CN" w:bidi="ar-SA"/>
        </w:rPr>
        <w:t>积极推进知识产权质押融资，破解中小企业融资难题</w:t>
      </w:r>
      <w:r>
        <w:rPr>
          <w:rFonts w:hint="eastAsia" w:ascii="Times New Roman" w:hAnsi="Times New Roman" w:eastAsia="方正仿宋简体" w:cs="Times New Roman"/>
          <w:color w:val="auto"/>
          <w:kern w:val="2"/>
          <w:sz w:val="32"/>
          <w:szCs w:val="32"/>
          <w:shd w:val="clear" w:color="auto" w:fill="auto"/>
          <w:lang w:val="en-US" w:eastAsia="zh-CN" w:bidi="ar-SA"/>
        </w:rPr>
        <w:t>；</w:t>
      </w:r>
      <w:r>
        <w:rPr>
          <w:rFonts w:hint="default" w:ascii="Times New Roman" w:hAnsi="Times New Roman" w:eastAsia="方正仿宋简体" w:cs="Times New Roman"/>
          <w:color w:val="auto"/>
          <w:kern w:val="2"/>
          <w:sz w:val="32"/>
          <w:szCs w:val="32"/>
          <w:shd w:val="clear" w:color="auto" w:fill="auto"/>
          <w:lang w:val="en-US" w:eastAsia="zh-CN" w:bidi="ar-SA"/>
        </w:rPr>
        <w:t>全面</w:t>
      </w:r>
      <w:r>
        <w:rPr>
          <w:rFonts w:hint="default" w:ascii="Times New Roman" w:hAnsi="Times New Roman" w:eastAsia="方正仿宋简体" w:cs="Times New Roman"/>
          <w:snapToGrid w:val="0"/>
          <w:color w:val="000000"/>
          <w:kern w:val="0"/>
          <w:sz w:val="32"/>
          <w:szCs w:val="32"/>
          <w:lang w:val="en-US" w:eastAsia="zh-CN"/>
        </w:rPr>
        <w:t>推广“建设项目开工一件事”“联合验收一件事”集成办理，继续推进“拿地即开工”“水电气网联合报装”等集成服务模式落实落细</w:t>
      </w:r>
      <w:r>
        <w:rPr>
          <w:rFonts w:hint="eastAsia" w:ascii="Times New Roman" w:hAnsi="Times New Roman" w:eastAsia="方正仿宋简体" w:cs="Times New Roman"/>
          <w:snapToGrid w:val="0"/>
          <w:color w:val="000000"/>
          <w:kern w:val="0"/>
          <w:sz w:val="32"/>
          <w:szCs w:val="32"/>
          <w:lang w:val="en-US" w:eastAsia="zh-CN"/>
        </w:rPr>
        <w:t>；</w:t>
      </w:r>
      <w:r>
        <w:rPr>
          <w:rFonts w:hint="default" w:ascii="Times New Roman" w:hAnsi="Times New Roman" w:eastAsia="方正仿宋简体" w:cs="Times New Roman"/>
          <w:b w:val="0"/>
          <w:sz w:val="32"/>
          <w:szCs w:val="32"/>
          <w:lang w:val="en-US" w:eastAsia="zh-CN"/>
        </w:rPr>
        <w:t>建立健全国有地籍数据库，持续做好国有资产登记问题化解</w:t>
      </w:r>
      <w:r>
        <w:rPr>
          <w:rFonts w:hint="eastAsia" w:ascii="Times New Roman" w:hAnsi="Times New Roman" w:eastAsia="方正仿宋简体" w:cs="Times New Roman"/>
          <w:b w:val="0"/>
          <w:sz w:val="32"/>
          <w:szCs w:val="32"/>
          <w:lang w:val="en-US" w:eastAsia="zh-CN"/>
        </w:rPr>
        <w:t>；</w:t>
      </w:r>
      <w:r>
        <w:rPr>
          <w:rFonts w:hint="eastAsia" w:ascii="Times New Roman" w:hAnsi="Times New Roman" w:eastAsia="方正仿宋简体" w:cs="Times New Roman"/>
          <w:snapToGrid w:val="0"/>
          <w:color w:val="000000"/>
          <w:kern w:val="0"/>
          <w:sz w:val="32"/>
          <w:szCs w:val="32"/>
          <w:lang w:val="en-US" w:eastAsia="zh-CN"/>
        </w:rPr>
        <w:t>深化与来安、天长、仪征等毗邻地区合作，</w:t>
      </w:r>
      <w:r>
        <w:rPr>
          <w:rFonts w:hint="eastAsia" w:ascii="Times New Roman" w:hAnsi="Times New Roman" w:eastAsia="方正仿宋简体" w:cs="Times New Roman"/>
          <w:sz w:val="32"/>
          <w:szCs w:val="32"/>
          <w:lang w:val="en-US" w:eastAsia="zh-CN"/>
        </w:rPr>
        <w:t>主动融入江</w:t>
      </w:r>
      <w:r>
        <w:rPr>
          <w:rFonts w:hint="default" w:ascii="Times New Roman" w:hAnsi="Times New Roman" w:eastAsia="方正仿宋简体" w:cs="Times New Roman"/>
          <w:sz w:val="32"/>
          <w:szCs w:val="32"/>
          <w:lang w:val="en-US" w:eastAsia="zh-CN"/>
        </w:rPr>
        <w:t>北“一体化”</w:t>
      </w:r>
      <w:r>
        <w:rPr>
          <w:rFonts w:hint="eastAsia" w:ascii="Times New Roman" w:hAnsi="Times New Roman" w:eastAsia="方正仿宋简体" w:cs="Times New Roman"/>
          <w:sz w:val="32"/>
          <w:szCs w:val="32"/>
          <w:lang w:val="en-US" w:eastAsia="zh-CN"/>
        </w:rPr>
        <w:t>协同发展，</w:t>
      </w:r>
      <w:r>
        <w:rPr>
          <w:rFonts w:hint="default" w:ascii="Times New Roman" w:hAnsi="Times New Roman" w:eastAsia="方正仿宋简体" w:cs="Times New Roman"/>
          <w:sz w:val="32"/>
          <w:szCs w:val="32"/>
          <w:lang w:val="en-US" w:eastAsia="zh-CN"/>
        </w:rPr>
        <w:t>推动“空铁智造走廊”产业规划落地，西站枢纽经济区快建设、见实效</w:t>
      </w:r>
      <w:r>
        <w:rPr>
          <w:rFonts w:hint="eastAsia" w:ascii="Times New Roman" w:hAnsi="Times New Roman" w:eastAsia="方正仿宋简体" w:cs="Times New Roman"/>
          <w:sz w:val="32"/>
          <w:szCs w:val="32"/>
          <w:lang w:val="en-US" w:eastAsia="zh-CN"/>
        </w:rPr>
        <w:t>。</w:t>
      </w:r>
    </w:p>
    <w:p w14:paraId="3134FA3A">
      <w:pPr>
        <w:pStyle w:val="8"/>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560" w:lineRule="exact"/>
        <w:ind w:firstLine="640" w:firstLineChars="200"/>
        <w:jc w:val="both"/>
        <w:textAlignment w:val="auto"/>
        <w:rPr>
          <w:rFonts w:hint="eastAsia" w:ascii="Times New Roman" w:hAnsi="Times New Roman" w:eastAsia="方正楷体简体" w:cs="Times New Roman"/>
          <w:sz w:val="32"/>
          <w:szCs w:val="32"/>
          <w:lang w:val="en-US" w:eastAsia="zh-CN"/>
        </w:rPr>
      </w:pPr>
      <w:r>
        <w:rPr>
          <w:rFonts w:hint="eastAsia" w:ascii="方正楷体简体" w:hAnsi="方正楷体简体" w:eastAsia="方正楷体简体" w:cs="方正楷体简体"/>
          <w:kern w:val="2"/>
          <w:sz w:val="32"/>
          <w:szCs w:val="32"/>
          <w:lang w:val="en-US" w:eastAsia="zh-CN" w:bidi="ar-SA"/>
        </w:rPr>
        <w:t>六是统筹规划建设，焕新城乡整体面貌。</w:t>
      </w:r>
      <w:r>
        <w:rPr>
          <w:rFonts w:hint="default" w:ascii="Times New Roman" w:hAnsi="Times New Roman" w:eastAsia="方正仿宋简体" w:cs="Times New Roman"/>
          <w:b w:val="0"/>
          <w:sz w:val="32"/>
          <w:szCs w:val="32"/>
        </w:rPr>
        <w:t>全面完成国土空间总体规划动态维护工作</w:t>
      </w:r>
      <w:r>
        <w:rPr>
          <w:rFonts w:hint="eastAsia" w:ascii="Times New Roman" w:hAnsi="Times New Roman" w:eastAsia="方正仿宋简体" w:cs="Times New Roman"/>
          <w:b w:val="0"/>
          <w:sz w:val="32"/>
          <w:szCs w:val="32"/>
          <w:lang w:eastAsia="zh-CN"/>
        </w:rPr>
        <w:t>，</w:t>
      </w:r>
      <w:r>
        <w:rPr>
          <w:rFonts w:hint="default" w:ascii="Times New Roman" w:hAnsi="Times New Roman" w:eastAsia="方正仿宋简体" w:cs="Times New Roman"/>
          <w:b w:val="0"/>
          <w:sz w:val="32"/>
          <w:szCs w:val="32"/>
        </w:rPr>
        <w:t>加快</w:t>
      </w:r>
      <w:r>
        <w:rPr>
          <w:rFonts w:hint="eastAsia" w:ascii="Times New Roman" w:hAnsi="Times New Roman" w:eastAsia="方正仿宋简体" w:cs="Times New Roman"/>
          <w:b w:val="0"/>
          <w:sz w:val="32"/>
          <w:szCs w:val="32"/>
          <w:lang w:val="en-US" w:eastAsia="zh-CN"/>
        </w:rPr>
        <w:t>推进</w:t>
      </w:r>
      <w:r>
        <w:rPr>
          <w:rFonts w:hint="default" w:ascii="Times New Roman" w:hAnsi="Times New Roman" w:eastAsia="方正仿宋简体" w:cs="Times New Roman"/>
          <w:b w:val="0"/>
          <w:sz w:val="32"/>
          <w:szCs w:val="32"/>
        </w:rPr>
        <w:t>省粮食物资保障基地、南工职大龙袍校区等</w:t>
      </w:r>
      <w:r>
        <w:rPr>
          <w:rFonts w:hint="default" w:ascii="Times New Roman" w:hAnsi="Times New Roman" w:eastAsia="方正仿宋简体" w:cs="Times New Roman"/>
          <w:b w:val="0"/>
          <w:sz w:val="32"/>
          <w:szCs w:val="32"/>
          <w:lang w:val="en-US" w:eastAsia="zh-CN"/>
        </w:rPr>
        <w:t>28个</w:t>
      </w:r>
      <w:r>
        <w:rPr>
          <w:rFonts w:hint="eastAsia" w:ascii="Times New Roman" w:hAnsi="Times New Roman" w:eastAsia="方正仿宋简体" w:cs="Times New Roman"/>
          <w:b w:val="0"/>
          <w:sz w:val="32"/>
          <w:szCs w:val="32"/>
          <w:lang w:val="en-US" w:eastAsia="zh-CN"/>
        </w:rPr>
        <w:t>规划</w:t>
      </w:r>
      <w:r>
        <w:rPr>
          <w:rFonts w:hint="default" w:ascii="Times New Roman" w:hAnsi="Times New Roman" w:eastAsia="方正仿宋简体" w:cs="Times New Roman"/>
          <w:b w:val="0"/>
          <w:sz w:val="32"/>
          <w:szCs w:val="32"/>
        </w:rPr>
        <w:t>新编及修改项目</w:t>
      </w:r>
      <w:r>
        <w:rPr>
          <w:rFonts w:hint="eastAsia" w:ascii="Times New Roman" w:hAnsi="Times New Roman" w:eastAsia="方正仿宋简体" w:cs="Times New Roman"/>
          <w:b w:val="0"/>
          <w:sz w:val="32"/>
          <w:szCs w:val="32"/>
          <w:lang w:eastAsia="zh-CN"/>
        </w:rPr>
        <w:t>；</w:t>
      </w:r>
      <w:r>
        <w:rPr>
          <w:rFonts w:hint="default" w:ascii="Times New Roman" w:hAnsi="Times New Roman" w:eastAsia="方正仿宋简体" w:cs="Times New Roman"/>
          <w:sz w:val="32"/>
          <w:szCs w:val="32"/>
          <w:lang w:val="en-US" w:eastAsia="zh-CN"/>
        </w:rPr>
        <w:t>全力做好宁淮城际铁路、北沿江高铁、宁盐高速、328国道和501省道等</w:t>
      </w:r>
      <w:r>
        <w:rPr>
          <w:rFonts w:hint="eastAsia" w:ascii="Times New Roman" w:hAnsi="Times New Roman" w:eastAsia="方正仿宋简体" w:cs="Times New Roman"/>
          <w:sz w:val="32"/>
          <w:szCs w:val="32"/>
          <w:lang w:val="en-US" w:eastAsia="zh-CN"/>
        </w:rPr>
        <w:t>重大</w:t>
      </w:r>
      <w:r>
        <w:rPr>
          <w:rFonts w:hint="default" w:ascii="Times New Roman" w:hAnsi="Times New Roman" w:eastAsia="方正仿宋简体" w:cs="Times New Roman"/>
          <w:sz w:val="32"/>
          <w:szCs w:val="32"/>
          <w:lang w:val="en-US" w:eastAsia="zh-CN"/>
        </w:rPr>
        <w:t>项目地方配套工作，</w:t>
      </w:r>
      <w:r>
        <w:rPr>
          <w:rFonts w:hint="eastAsia" w:ascii="Times New Roman" w:hAnsi="Times New Roman" w:eastAsia="方正仿宋简体" w:cs="Times New Roman"/>
          <w:sz w:val="32"/>
          <w:szCs w:val="32"/>
          <w:lang w:val="en-US" w:eastAsia="zh-CN"/>
        </w:rPr>
        <w:t>启动247省道建设；加快推进农场河路、蒋湾互通等立项工作，做好浦六快速路、机场快速路涉铁节点等项目前期研究</w:t>
      </w:r>
      <w:r>
        <w:rPr>
          <w:rFonts w:hint="default"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u w:val="none"/>
          <w:lang w:val="en-US" w:eastAsia="zh-CN"/>
        </w:rPr>
        <w:t>持续推进建设北路等市政道路前期工作；</w:t>
      </w:r>
      <w:r>
        <w:rPr>
          <w:rFonts w:hint="eastAsia" w:ascii="Times New Roman" w:hAnsi="Times New Roman" w:eastAsia="方正仿宋简体" w:cs="Times New Roman"/>
          <w:sz w:val="32"/>
          <w:szCs w:val="32"/>
          <w:u w:val="none"/>
          <w:lang w:val="en-US" w:eastAsia="zh-CN"/>
        </w:rPr>
        <w:t>建</w:t>
      </w:r>
      <w:r>
        <w:rPr>
          <w:rFonts w:hint="default" w:ascii="Times New Roman" w:hAnsi="Times New Roman" w:eastAsia="方正仿宋简体" w:cs="Times New Roman"/>
          <w:snapToGrid w:val="0"/>
          <w:color w:val="000000"/>
          <w:kern w:val="0"/>
          <w:sz w:val="32"/>
          <w:szCs w:val="32"/>
          <w:lang w:val="en-US" w:eastAsia="zh-CN"/>
        </w:rPr>
        <w:t>立农村低收入群体住房动态监测机制，实现危房改造“发现一户</w:t>
      </w:r>
      <w:r>
        <w:rPr>
          <w:rFonts w:hint="eastAsia" w:ascii="Times New Roman" w:hAnsi="Times New Roman" w:eastAsia="方正仿宋简体" w:cs="Times New Roman"/>
          <w:snapToGrid w:val="0"/>
          <w:color w:val="000000"/>
          <w:kern w:val="0"/>
          <w:sz w:val="32"/>
          <w:szCs w:val="32"/>
          <w:lang w:val="en-US" w:eastAsia="zh-CN"/>
        </w:rPr>
        <w:t>、</w:t>
      </w:r>
      <w:r>
        <w:rPr>
          <w:rFonts w:hint="default" w:ascii="Times New Roman" w:hAnsi="Times New Roman" w:eastAsia="方正仿宋简体" w:cs="Times New Roman"/>
          <w:snapToGrid w:val="0"/>
          <w:color w:val="000000"/>
          <w:kern w:val="0"/>
          <w:sz w:val="32"/>
          <w:szCs w:val="32"/>
          <w:lang w:val="en-US" w:eastAsia="zh-CN"/>
        </w:rPr>
        <w:t>改造一户、动态清零”</w:t>
      </w:r>
      <w:r>
        <w:rPr>
          <w:rFonts w:hint="eastAsia" w:ascii="Times New Roman" w:hAnsi="Times New Roman" w:eastAsia="方正仿宋简体" w:cs="Times New Roman"/>
          <w:snapToGrid w:val="0"/>
          <w:color w:val="000000"/>
          <w:kern w:val="0"/>
          <w:sz w:val="32"/>
          <w:szCs w:val="32"/>
          <w:lang w:val="en-US" w:eastAsia="zh-CN"/>
        </w:rPr>
        <w:t>；持续推进</w:t>
      </w:r>
      <w:r>
        <w:rPr>
          <w:rFonts w:hint="default" w:ascii="Times New Roman" w:hAnsi="Times New Roman" w:eastAsia="方正仿宋简体" w:cs="Times New Roman"/>
          <w:snapToGrid w:val="0"/>
          <w:color w:val="000000"/>
          <w:kern w:val="0"/>
          <w:sz w:val="32"/>
          <w:szCs w:val="32"/>
          <w:lang w:val="en-US" w:eastAsia="zh-CN"/>
        </w:rPr>
        <w:t>管道燃气居民用户“安心管”更换，深化瓶装液化气市场规范管理</w:t>
      </w:r>
      <w:r>
        <w:rPr>
          <w:rFonts w:hint="eastAsia" w:ascii="Times New Roman" w:hAnsi="Times New Roman" w:eastAsia="方正仿宋简体" w:cs="Times New Roman"/>
          <w:snapToGrid w:val="0"/>
          <w:color w:val="000000"/>
          <w:kern w:val="0"/>
          <w:sz w:val="32"/>
          <w:szCs w:val="32"/>
          <w:lang w:val="en-US" w:eastAsia="zh-CN"/>
        </w:rPr>
        <w:t>；</w:t>
      </w:r>
      <w:r>
        <w:rPr>
          <w:rFonts w:hint="eastAsia" w:ascii="方正仿宋简体" w:hAnsi="方正仿宋简体" w:eastAsia="方正仿宋简体" w:cs="方正仿宋简体"/>
          <w:b w:val="0"/>
          <w:bCs w:val="0"/>
          <w:color w:val="auto"/>
          <w:sz w:val="32"/>
          <w:szCs w:val="32"/>
          <w:lang w:val="en-US" w:eastAsia="zh-CN"/>
        </w:rPr>
        <w:t>深入开展背街小巷微更新与高品质城市管理单元提质升级，持续推进闲置边角</w:t>
      </w:r>
      <w:r>
        <w:rPr>
          <w:rFonts w:hint="default" w:ascii="Times New Roman" w:hAnsi="Times New Roman" w:eastAsia="方正仿宋简体" w:cs="Times New Roman"/>
          <w:b w:val="0"/>
          <w:bCs w:val="0"/>
          <w:color w:val="auto"/>
          <w:sz w:val="32"/>
          <w:szCs w:val="32"/>
          <w:lang w:val="en-US" w:eastAsia="zh-CN"/>
        </w:rPr>
        <w:t>地块“一地一策”活化</w:t>
      </w:r>
      <w:r>
        <w:rPr>
          <w:rFonts w:hint="eastAsia" w:ascii="方正仿宋简体" w:hAnsi="方正仿宋简体" w:eastAsia="方正仿宋简体" w:cs="方正仿宋简体"/>
          <w:b w:val="0"/>
          <w:bCs w:val="0"/>
          <w:color w:val="auto"/>
          <w:sz w:val="32"/>
          <w:szCs w:val="32"/>
          <w:lang w:val="en-US" w:eastAsia="zh-CN"/>
        </w:rPr>
        <w:t>利用，深挖资源盘活增设公共停车泊位</w:t>
      </w:r>
      <w:r>
        <w:rPr>
          <w:rFonts w:hint="default" w:ascii="Times New Roman" w:hAnsi="Times New Roman" w:eastAsia="方正仿宋简体" w:cs="Times New Roman"/>
          <w:kern w:val="2"/>
          <w:sz w:val="32"/>
          <w:szCs w:val="32"/>
          <w:lang w:val="en-US" w:eastAsia="zh-CN" w:bidi="ar-SA"/>
        </w:rPr>
        <w:t>。</w:t>
      </w:r>
    </w:p>
    <w:p w14:paraId="59675F9A">
      <w:pPr>
        <w:pStyle w:val="8"/>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560" w:lineRule="exact"/>
        <w:ind w:firstLine="640" w:firstLineChars="200"/>
        <w:jc w:val="both"/>
        <w:textAlignment w:val="auto"/>
        <w:rPr>
          <w:rFonts w:hint="eastAsia" w:ascii="Times New Roman" w:hAnsi="Times New Roman" w:eastAsia="方正仿宋简体" w:cs="Times New Roman"/>
          <w:sz w:val="32"/>
          <w:szCs w:val="32"/>
          <w:lang w:eastAsia="zh-CN"/>
        </w:rPr>
      </w:pPr>
      <w:r>
        <w:rPr>
          <w:rFonts w:hint="eastAsia" w:ascii="方正楷体简体" w:hAnsi="方正楷体简体" w:eastAsia="方正楷体简体" w:cs="方正楷体简体"/>
          <w:kern w:val="2"/>
          <w:sz w:val="32"/>
          <w:szCs w:val="32"/>
          <w:lang w:val="en-US" w:eastAsia="zh-CN" w:bidi="ar-SA"/>
        </w:rPr>
        <w:t>七是坚守绿色底线，擦亮生态宜居名片。</w:t>
      </w:r>
      <w:r>
        <w:rPr>
          <w:rFonts w:hint="default" w:eastAsia="方正仿宋简体"/>
          <w:sz w:val="32"/>
          <w:szCs w:val="32"/>
        </w:rPr>
        <w:t>全力</w:t>
      </w:r>
      <w:r>
        <w:rPr>
          <w:rFonts w:hint="eastAsia" w:eastAsia="方正仿宋简体"/>
          <w:sz w:val="32"/>
          <w:szCs w:val="32"/>
          <w:lang w:val="en-US" w:eastAsia="zh-CN"/>
        </w:rPr>
        <w:t>做好</w:t>
      </w:r>
      <w:r>
        <w:rPr>
          <w:rFonts w:hint="default" w:eastAsia="方正仿宋简体"/>
          <w:sz w:val="32"/>
          <w:szCs w:val="32"/>
        </w:rPr>
        <w:t>大气污染防治</w:t>
      </w:r>
      <w:r>
        <w:rPr>
          <w:rFonts w:hint="eastAsia" w:eastAsia="方正仿宋简体"/>
          <w:sz w:val="32"/>
          <w:szCs w:val="32"/>
          <w:lang w:val="en-US" w:eastAsia="zh-CN"/>
        </w:rPr>
        <w:t>工作</w:t>
      </w:r>
      <w:r>
        <w:rPr>
          <w:rFonts w:hint="eastAsia" w:eastAsia="方正仿宋简体"/>
          <w:sz w:val="32"/>
          <w:szCs w:val="32"/>
          <w:lang w:eastAsia="zh-CN"/>
        </w:rPr>
        <w:t>，</w:t>
      </w:r>
      <w:r>
        <w:rPr>
          <w:rFonts w:hint="default" w:ascii="Times New Roman" w:hAnsi="Times New Roman" w:eastAsia="方正仿宋简体" w:cs="Times New Roman"/>
          <w:color w:val="000000"/>
          <w:sz w:val="32"/>
          <w:szCs w:val="32"/>
        </w:rPr>
        <w:t>加大老旧柴油货车淘汰力度，</w:t>
      </w:r>
      <w:r>
        <w:rPr>
          <w:rFonts w:hint="default" w:ascii="Times New Roman" w:hAnsi="Times New Roman" w:eastAsia="方正仿宋简体" w:cs="Times New Roman"/>
          <w:kern w:val="2"/>
          <w:sz w:val="32"/>
          <w:szCs w:val="32"/>
          <w:lang w:val="en-US" w:eastAsia="zh-CN" w:bidi="ar-SA"/>
        </w:rPr>
        <w:t>做好秋季秸秆禁烧与秸秆综合利用工作</w:t>
      </w:r>
      <w:r>
        <w:rPr>
          <w:rFonts w:hint="eastAsia" w:ascii="Times New Roman" w:hAnsi="Times New Roman" w:eastAsia="方正仿宋简体" w:cs="Times New Roman"/>
          <w:kern w:val="2"/>
          <w:sz w:val="32"/>
          <w:szCs w:val="32"/>
          <w:lang w:val="en-US" w:eastAsia="zh-CN" w:bidi="ar-SA"/>
        </w:rPr>
        <w:t>，</w:t>
      </w:r>
      <w:r>
        <w:rPr>
          <w:rFonts w:hint="default" w:ascii="Times New Roman" w:hAnsi="Times New Roman" w:eastAsia="方正仿宋简体" w:cs="Times New Roman"/>
          <w:color w:val="000000"/>
          <w:sz w:val="32"/>
          <w:szCs w:val="32"/>
        </w:rPr>
        <w:t>深入开展固废辐射环境整治</w:t>
      </w:r>
      <w:r>
        <w:rPr>
          <w:rFonts w:hint="eastAsia" w:ascii="Times New Roman" w:hAnsi="Times New Roman" w:eastAsia="方正仿宋简体" w:cs="Times New Roman"/>
          <w:kern w:val="2"/>
          <w:sz w:val="32"/>
          <w:szCs w:val="32"/>
          <w:lang w:val="en-US" w:eastAsia="zh-CN" w:bidi="ar-SA"/>
        </w:rPr>
        <w:t>；</w:t>
      </w:r>
      <w:r>
        <w:rPr>
          <w:rFonts w:hint="default" w:ascii="Times New Roman" w:hAnsi="Times New Roman" w:eastAsia="方正仿宋简体" w:cs="Times New Roman"/>
          <w:color w:val="000000"/>
          <w:sz w:val="32"/>
          <w:szCs w:val="32"/>
        </w:rPr>
        <w:t>持续推进入河排污口全覆盖巡查监测，常态化开展问题排</w:t>
      </w:r>
      <w:r>
        <w:rPr>
          <w:rFonts w:hint="eastAsia" w:ascii="Times New Roman" w:hAnsi="Times New Roman" w:eastAsia="方正仿宋简体" w:cs="Times New Roman"/>
          <w:color w:val="000000"/>
          <w:sz w:val="32"/>
          <w:szCs w:val="32"/>
          <w:lang w:val="en-US" w:eastAsia="zh-CN"/>
        </w:rPr>
        <w:t>查</w:t>
      </w:r>
      <w:r>
        <w:rPr>
          <w:rFonts w:hint="default" w:ascii="Times New Roman" w:hAnsi="Times New Roman" w:eastAsia="方正仿宋简体" w:cs="Times New Roman"/>
          <w:color w:val="000000"/>
          <w:sz w:val="32"/>
          <w:szCs w:val="32"/>
        </w:rPr>
        <w:t>“回头看”</w:t>
      </w:r>
      <w:r>
        <w:rPr>
          <w:rFonts w:hint="default" w:ascii="Times New Roman" w:hAnsi="Times New Roman" w:eastAsia="方正仿宋简体" w:cs="Times New Roman"/>
          <w:color w:val="000000"/>
          <w:sz w:val="32"/>
          <w:szCs w:val="32"/>
          <w:lang w:eastAsia="zh-CN"/>
        </w:rPr>
        <w:t>；</w:t>
      </w:r>
      <w:r>
        <w:rPr>
          <w:rFonts w:hint="default" w:ascii="Times New Roman" w:hAnsi="Times New Roman" w:eastAsia="方正仿宋简体" w:cs="Times New Roman"/>
          <w:sz w:val="32"/>
          <w:szCs w:val="32"/>
        </w:rPr>
        <w:t>强化入江支流水质保障，确保国省考断面及入江支流水质全部达标</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color w:val="000000"/>
          <w:sz w:val="32"/>
          <w:szCs w:val="32"/>
          <w:lang w:val="en-US" w:eastAsia="zh-CN"/>
        </w:rPr>
        <w:t>推进双碳试点建设，</w:t>
      </w:r>
      <w:r>
        <w:rPr>
          <w:rFonts w:hint="default" w:ascii="Times New Roman" w:hAnsi="Times New Roman" w:eastAsia="方正仿宋简体" w:cs="Times New Roman"/>
          <w:bCs/>
          <w:sz w:val="32"/>
          <w:szCs w:val="32"/>
          <w:lang w:val="en-US" w:eastAsia="zh-CN"/>
        </w:rPr>
        <w:t>积极争创省级</w:t>
      </w:r>
      <w:r>
        <w:rPr>
          <w:rFonts w:hint="eastAsia" w:ascii="Times New Roman" w:hAnsi="Times New Roman" w:eastAsia="方正仿宋简体" w:cs="Times New Roman"/>
          <w:bCs/>
          <w:sz w:val="32"/>
          <w:szCs w:val="32"/>
          <w:lang w:val="en-US" w:eastAsia="zh-CN"/>
        </w:rPr>
        <w:t>及以上</w:t>
      </w:r>
      <w:r>
        <w:rPr>
          <w:rFonts w:hint="default" w:ascii="Times New Roman" w:hAnsi="Times New Roman" w:eastAsia="方正仿宋简体" w:cs="Times New Roman"/>
          <w:bCs/>
          <w:sz w:val="32"/>
          <w:szCs w:val="32"/>
          <w:lang w:val="en-US" w:eastAsia="zh-CN"/>
        </w:rPr>
        <w:t>零碳园区，</w:t>
      </w:r>
      <w:r>
        <w:rPr>
          <w:rFonts w:hint="default" w:ascii="Times New Roman" w:hAnsi="Times New Roman" w:eastAsia="方正仿宋简体" w:cs="Times New Roman"/>
          <w:sz w:val="32"/>
          <w:szCs w:val="32"/>
        </w:rPr>
        <w:t>鼓励企业创建国家绿色工厂</w:t>
      </w:r>
      <w:r>
        <w:rPr>
          <w:rFonts w:hint="eastAsia" w:ascii="Times New Roman" w:hAnsi="Times New Roman" w:eastAsia="方正仿宋简体" w:cs="Times New Roman"/>
          <w:sz w:val="32"/>
          <w:szCs w:val="32"/>
          <w:lang w:eastAsia="zh-CN"/>
        </w:rPr>
        <w:t>；</w:t>
      </w:r>
      <w:r>
        <w:rPr>
          <w:rFonts w:hint="default" w:ascii="Times New Roman" w:hAnsi="Times New Roman" w:eastAsia="方正仿宋简体" w:cs="Times New Roman"/>
          <w:snapToGrid w:val="0"/>
          <w:color w:val="000000"/>
          <w:kern w:val="0"/>
          <w:sz w:val="32"/>
          <w:szCs w:val="32"/>
          <w:lang w:val="en-US" w:eastAsia="zh-CN" w:bidi="ar-SA"/>
        </w:rPr>
        <w:t>大力推广智能建造技术，培育市级、省级智能建造试点企业与项目</w:t>
      </w:r>
      <w:r>
        <w:rPr>
          <w:rFonts w:hint="eastAsia" w:ascii="Times New Roman" w:hAnsi="Times New Roman" w:eastAsia="方正仿宋简体" w:cs="Times New Roman"/>
          <w:snapToGrid w:val="0"/>
          <w:color w:val="000000"/>
          <w:kern w:val="0"/>
          <w:sz w:val="32"/>
          <w:szCs w:val="32"/>
          <w:lang w:val="en-US" w:eastAsia="zh-CN" w:bidi="ar-SA"/>
        </w:rPr>
        <w:t>；</w:t>
      </w:r>
      <w:r>
        <w:rPr>
          <w:rFonts w:hint="default" w:ascii="Times New Roman" w:hAnsi="Times New Roman" w:eastAsia="方正仿宋简体" w:cs="Times New Roman"/>
          <w:bCs/>
          <w:sz w:val="32"/>
          <w:szCs w:val="32"/>
          <w:lang w:val="en-US" w:eastAsia="zh-CN"/>
        </w:rPr>
        <w:t>持续推进集中式光伏项目全面开工建设、有序并网运行，</w:t>
      </w:r>
      <w:r>
        <w:rPr>
          <w:rFonts w:hint="eastAsia" w:ascii="Times New Roman" w:hAnsi="Times New Roman" w:eastAsia="方正仿宋简体" w:cs="Times New Roman"/>
          <w:bCs/>
          <w:sz w:val="32"/>
          <w:szCs w:val="32"/>
          <w:lang w:val="en-US" w:eastAsia="zh-CN"/>
        </w:rPr>
        <w:t>加快六合冶山105万千瓦抽水蓄能电站项目国家地质公园、自然保护地、生态红线等要素调整工作；</w:t>
      </w:r>
      <w:r>
        <w:rPr>
          <w:rFonts w:hint="default" w:ascii="Times New Roman" w:hAnsi="Times New Roman" w:eastAsia="方正仿宋简体" w:cs="Times New Roman"/>
          <w:bCs/>
          <w:sz w:val="32"/>
          <w:szCs w:val="32"/>
          <w:lang w:val="en-US" w:eastAsia="zh-CN"/>
        </w:rPr>
        <w:t>做好能耗和碳排放总量控制</w:t>
      </w:r>
      <w:r>
        <w:rPr>
          <w:rFonts w:hint="eastAsia" w:ascii="Times New Roman" w:hAnsi="Times New Roman" w:eastAsia="方正仿宋简体" w:cs="Times New Roman"/>
          <w:bCs/>
          <w:sz w:val="32"/>
          <w:szCs w:val="32"/>
          <w:lang w:val="en-US" w:eastAsia="zh-CN"/>
        </w:rPr>
        <w:t>，</w:t>
      </w:r>
      <w:r>
        <w:rPr>
          <w:rFonts w:hint="default" w:ascii="Times New Roman" w:hAnsi="Times New Roman" w:eastAsia="方正仿宋简体" w:cs="Times New Roman"/>
          <w:bCs/>
          <w:sz w:val="32"/>
          <w:szCs w:val="32"/>
          <w:lang w:val="en-US" w:eastAsia="zh-CN"/>
        </w:rPr>
        <w:t>遏制“两高”项目盲目发展</w:t>
      </w:r>
      <w:r>
        <w:rPr>
          <w:rFonts w:hint="eastAsia" w:ascii="Times New Roman" w:hAnsi="Times New Roman" w:eastAsia="方正仿宋简体" w:cs="Times New Roman"/>
          <w:bCs/>
          <w:sz w:val="32"/>
          <w:szCs w:val="32"/>
          <w:lang w:val="en-US" w:eastAsia="zh-CN"/>
        </w:rPr>
        <w:t>。</w:t>
      </w:r>
    </w:p>
    <w:p w14:paraId="2E613140">
      <w:pPr>
        <w:pStyle w:val="8"/>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560" w:lineRule="exact"/>
        <w:ind w:firstLine="640" w:firstLineChars="200"/>
        <w:jc w:val="both"/>
        <w:textAlignment w:val="auto"/>
        <w:rPr>
          <w:rFonts w:hint="default" w:ascii="Times New Roman" w:hAnsi="Times New Roman" w:eastAsia="方正仿宋简体" w:cs="Times New Roman"/>
          <w:snapToGrid w:val="0"/>
          <w:color w:val="000000"/>
          <w:kern w:val="0"/>
          <w:sz w:val="32"/>
          <w:szCs w:val="32"/>
          <w:lang w:val="en-US" w:eastAsia="zh-CN" w:bidi="ar-SA"/>
        </w:rPr>
      </w:pPr>
      <w:r>
        <w:rPr>
          <w:rFonts w:hint="eastAsia" w:ascii="方正楷体简体" w:hAnsi="方正楷体简体" w:eastAsia="方正楷体简体" w:cs="方正楷体简体"/>
          <w:kern w:val="2"/>
          <w:sz w:val="32"/>
          <w:szCs w:val="32"/>
          <w:lang w:val="en-US" w:eastAsia="zh-CN" w:bidi="ar-SA"/>
        </w:rPr>
        <w:t>八是</w:t>
      </w:r>
      <w:r>
        <w:rPr>
          <w:rFonts w:hint="default" w:ascii="方正楷体简体" w:hAnsi="方正楷体简体" w:eastAsia="方正楷体简体" w:cs="方正楷体简体"/>
          <w:kern w:val="2"/>
          <w:sz w:val="32"/>
          <w:szCs w:val="32"/>
          <w:lang w:val="en-US" w:eastAsia="zh-CN" w:bidi="ar-SA"/>
        </w:rPr>
        <w:t>聚焦民生关切，夯实社会治理根基</w:t>
      </w:r>
      <w:r>
        <w:rPr>
          <w:rFonts w:hint="eastAsia" w:ascii="方正楷体简体" w:hAnsi="方正楷体简体" w:eastAsia="方正楷体简体" w:cs="方正楷体简体"/>
          <w:kern w:val="2"/>
          <w:sz w:val="32"/>
          <w:szCs w:val="32"/>
          <w:lang w:val="en-US" w:eastAsia="zh-CN" w:bidi="ar-SA"/>
        </w:rPr>
        <w:t>。</w:t>
      </w:r>
      <w:r>
        <w:rPr>
          <w:rFonts w:hint="default" w:ascii="Times New Roman" w:hAnsi="Times New Roman" w:eastAsia="方正仿宋简体" w:cs="Times New Roman"/>
          <w:snapToGrid w:val="0"/>
          <w:color w:val="000000"/>
          <w:kern w:val="0"/>
          <w:sz w:val="32"/>
          <w:szCs w:val="32"/>
          <w:lang w:val="en-US" w:eastAsia="zh-CN" w:bidi="ar-SA"/>
        </w:rPr>
        <w:t>持续做好高校毕业生、退捕渔民、返乡人员等重点群体就业帮扶，全面建成投用区智慧零工市场，新建4家“家门口”就业服务站</w:t>
      </w:r>
      <w:r>
        <w:rPr>
          <w:rFonts w:hint="eastAsia" w:ascii="Times New Roman" w:hAnsi="Times New Roman" w:eastAsia="方正仿宋简体" w:cs="Times New Roman"/>
          <w:snapToGrid w:val="0"/>
          <w:color w:val="000000"/>
          <w:kern w:val="0"/>
          <w:sz w:val="32"/>
          <w:szCs w:val="32"/>
          <w:lang w:val="en-US" w:eastAsia="zh-CN" w:bidi="ar-SA"/>
        </w:rPr>
        <w:t>；</w:t>
      </w:r>
      <w:r>
        <w:rPr>
          <w:rFonts w:hint="default" w:ascii="Times New Roman" w:hAnsi="Times New Roman" w:eastAsia="方正仿宋简体" w:cs="Times New Roman"/>
          <w:snapToGrid w:val="0"/>
          <w:color w:val="000000"/>
          <w:kern w:val="0"/>
          <w:sz w:val="32"/>
          <w:szCs w:val="32"/>
          <w:lang w:val="en-US" w:eastAsia="zh-CN" w:bidi="ar-SA"/>
        </w:rPr>
        <w:t>严格落实全市欠薪“降三量”工作要求，持续压降欠薪线索总量</w:t>
      </w:r>
      <w:r>
        <w:rPr>
          <w:rFonts w:hint="eastAsia" w:ascii="Times New Roman" w:hAnsi="Times New Roman" w:eastAsia="方正仿宋简体" w:cs="Times New Roman"/>
          <w:snapToGrid w:val="0"/>
          <w:color w:val="000000"/>
          <w:kern w:val="0"/>
          <w:sz w:val="32"/>
          <w:szCs w:val="32"/>
          <w:lang w:val="en-US" w:eastAsia="zh-CN" w:bidi="ar-SA"/>
        </w:rPr>
        <w:t>；</w:t>
      </w:r>
      <w:r>
        <w:rPr>
          <w:rFonts w:hint="default" w:ascii="Times New Roman" w:hAnsi="Times New Roman" w:eastAsia="方正仿宋简体" w:cs="Times New Roman"/>
          <w:snapToGrid w:val="0"/>
          <w:color w:val="000000"/>
          <w:kern w:val="0"/>
          <w:sz w:val="32"/>
          <w:szCs w:val="32"/>
          <w:lang w:val="en-US" w:eastAsia="zh-CN" w:bidi="ar-SA"/>
        </w:rPr>
        <w:t>健全分层分类社会救助体系，持续推进“15分钟养老服务圈”建设</w:t>
      </w:r>
      <w:r>
        <w:rPr>
          <w:rFonts w:hint="eastAsia" w:ascii="Times New Roman" w:hAnsi="Times New Roman" w:eastAsia="方正仿宋简体" w:cs="Times New Roman"/>
          <w:snapToGrid w:val="0"/>
          <w:color w:val="000000"/>
          <w:kern w:val="0"/>
          <w:sz w:val="32"/>
          <w:szCs w:val="32"/>
          <w:lang w:val="en-US" w:eastAsia="zh-CN" w:bidi="ar-SA"/>
        </w:rPr>
        <w:t>；</w:t>
      </w:r>
      <w:r>
        <w:rPr>
          <w:rFonts w:hint="default" w:ascii="Times New Roman" w:hAnsi="Times New Roman" w:eastAsia="方正仿宋简体" w:cs="Times New Roman"/>
          <w:snapToGrid w:val="0"/>
          <w:color w:val="000000"/>
          <w:kern w:val="0"/>
          <w:sz w:val="32"/>
          <w:szCs w:val="32"/>
          <w:lang w:val="en-US" w:eastAsia="zh-CN" w:bidi="ar-SA"/>
        </w:rPr>
        <w:t>加快</w:t>
      </w:r>
      <w:r>
        <w:rPr>
          <w:rFonts w:hint="eastAsia" w:ascii="Times New Roman" w:hAnsi="Times New Roman" w:eastAsia="方正仿宋简体" w:cs="Times New Roman"/>
          <w:snapToGrid w:val="0"/>
          <w:color w:val="000000"/>
          <w:kern w:val="0"/>
          <w:sz w:val="32"/>
          <w:szCs w:val="32"/>
          <w:lang w:val="en-US" w:eastAsia="zh-CN" w:bidi="ar-SA"/>
        </w:rPr>
        <w:t>公立医院市级以上重点专科</w:t>
      </w:r>
      <w:r>
        <w:rPr>
          <w:rFonts w:hint="default" w:ascii="Times New Roman" w:hAnsi="Times New Roman" w:eastAsia="方正仿宋简体" w:cs="Times New Roman"/>
          <w:snapToGrid w:val="0"/>
          <w:color w:val="000000"/>
          <w:kern w:val="0"/>
          <w:sz w:val="32"/>
          <w:szCs w:val="32"/>
          <w:lang w:val="en-US" w:eastAsia="zh-CN" w:bidi="ar-SA"/>
        </w:rPr>
        <w:t>建设，提升专科诊疗能级</w:t>
      </w:r>
      <w:r>
        <w:rPr>
          <w:rFonts w:hint="eastAsia" w:ascii="Times New Roman" w:hAnsi="Times New Roman" w:eastAsia="方正仿宋简体" w:cs="Times New Roman"/>
          <w:snapToGrid w:val="0"/>
          <w:color w:val="000000"/>
          <w:kern w:val="0"/>
          <w:sz w:val="32"/>
          <w:szCs w:val="32"/>
          <w:lang w:val="en-US" w:eastAsia="zh-CN" w:bidi="ar-SA"/>
        </w:rPr>
        <w:t>，积极</w:t>
      </w:r>
      <w:r>
        <w:rPr>
          <w:rFonts w:hint="default" w:ascii="Times New Roman" w:hAnsi="Times New Roman" w:eastAsia="方正仿宋简体" w:cs="Times New Roman"/>
          <w:snapToGrid w:val="0"/>
          <w:color w:val="000000"/>
          <w:kern w:val="0"/>
          <w:sz w:val="32"/>
          <w:szCs w:val="32"/>
          <w:lang w:val="en-US" w:eastAsia="zh-CN" w:bidi="ar-SA"/>
        </w:rPr>
        <w:t>推进区第二人民医院异地新建</w:t>
      </w:r>
      <w:r>
        <w:rPr>
          <w:rFonts w:hint="eastAsia" w:ascii="Times New Roman" w:hAnsi="Times New Roman" w:eastAsia="方正仿宋简体" w:cs="Times New Roman"/>
          <w:snapToGrid w:val="0"/>
          <w:color w:val="000000"/>
          <w:kern w:val="0"/>
          <w:sz w:val="32"/>
          <w:szCs w:val="32"/>
          <w:lang w:val="en-US" w:eastAsia="zh-CN" w:bidi="ar-SA"/>
        </w:rPr>
        <w:t>和区中医院康养</w:t>
      </w:r>
      <w:r>
        <w:rPr>
          <w:rFonts w:hint="default" w:ascii="Times New Roman" w:hAnsi="Times New Roman" w:eastAsia="方正仿宋简体" w:cs="Times New Roman"/>
          <w:snapToGrid w:val="0"/>
          <w:color w:val="000000"/>
          <w:kern w:val="0"/>
          <w:sz w:val="32"/>
          <w:szCs w:val="32"/>
          <w:lang w:val="en-US" w:eastAsia="zh-CN" w:bidi="ar-SA"/>
        </w:rPr>
        <w:t>项目</w:t>
      </w:r>
      <w:r>
        <w:rPr>
          <w:rFonts w:hint="eastAsia" w:ascii="Times New Roman" w:hAnsi="Times New Roman" w:eastAsia="方正仿宋简体" w:cs="Times New Roman"/>
          <w:snapToGrid w:val="0"/>
          <w:color w:val="000000"/>
          <w:kern w:val="0"/>
          <w:sz w:val="32"/>
          <w:szCs w:val="32"/>
          <w:lang w:val="en-US" w:eastAsia="zh-CN" w:bidi="ar-SA"/>
        </w:rPr>
        <w:t>；</w:t>
      </w:r>
      <w:r>
        <w:rPr>
          <w:rFonts w:hint="default" w:ascii="Times New Roman" w:hAnsi="Times New Roman" w:eastAsia="方正仿宋简体" w:cs="Times New Roman"/>
          <w:snapToGrid w:val="0"/>
          <w:color w:val="000000"/>
          <w:kern w:val="0"/>
          <w:sz w:val="32"/>
          <w:szCs w:val="32"/>
          <w:lang w:val="en-US" w:eastAsia="zh-CN" w:bidi="ar-SA"/>
        </w:rPr>
        <w:t>深化校家社协同育人“教联体”建设，加快推进中专校实训基地、特殊教育中职部项目前期工作</w:t>
      </w:r>
      <w:r>
        <w:rPr>
          <w:rFonts w:hint="eastAsia" w:ascii="Times New Roman" w:hAnsi="Times New Roman" w:eastAsia="方正仿宋简体" w:cs="Times New Roman"/>
          <w:snapToGrid w:val="0"/>
          <w:color w:val="000000"/>
          <w:kern w:val="0"/>
          <w:sz w:val="32"/>
          <w:szCs w:val="32"/>
          <w:lang w:val="en-US" w:eastAsia="zh-CN" w:bidi="ar-SA"/>
        </w:rPr>
        <w:t>；</w:t>
      </w:r>
      <w:r>
        <w:rPr>
          <w:rFonts w:hint="default" w:ascii="Times New Roman" w:hAnsi="Times New Roman" w:eastAsia="方正仿宋简体" w:cs="Times New Roman"/>
          <w:snapToGrid w:val="0"/>
          <w:color w:val="000000"/>
          <w:kern w:val="0"/>
          <w:sz w:val="32"/>
          <w:szCs w:val="32"/>
          <w:lang w:val="en-US" w:eastAsia="zh-CN" w:bidi="ar-SA"/>
        </w:rPr>
        <w:t>深入实施“做实网格”“警网融合”工程，统筹推进“网格+公共服务”融合治理，扎实开展新时代“枫桥经验”深化基层矛盾纠纷排查化解，切实发挥三级综治中心实战效能</w:t>
      </w:r>
      <w:r>
        <w:rPr>
          <w:rFonts w:hint="eastAsia" w:ascii="Times New Roman" w:hAnsi="Times New Roman" w:eastAsia="方正仿宋简体" w:cs="Times New Roman"/>
          <w:snapToGrid w:val="0"/>
          <w:color w:val="000000"/>
          <w:kern w:val="0"/>
          <w:sz w:val="32"/>
          <w:szCs w:val="32"/>
          <w:lang w:val="en-US" w:eastAsia="zh-CN" w:bidi="ar-SA"/>
        </w:rPr>
        <w:t>；</w:t>
      </w:r>
      <w:r>
        <w:rPr>
          <w:rFonts w:hint="default" w:ascii="Times New Roman" w:hAnsi="Times New Roman" w:eastAsia="方正仿宋简体" w:cs="Times New Roman"/>
          <w:snapToGrid w:val="0"/>
          <w:color w:val="000000"/>
          <w:kern w:val="0"/>
          <w:sz w:val="32"/>
          <w:szCs w:val="32"/>
          <w:lang w:val="en-US" w:eastAsia="zh-CN" w:bidi="ar-SA"/>
        </w:rPr>
        <w:t>持续深化信访法治化建设，不断提升信访事项办理质</w:t>
      </w:r>
      <w:bookmarkStart w:id="7" w:name="_GoBack"/>
      <w:bookmarkEnd w:id="7"/>
      <w:r>
        <w:rPr>
          <w:rFonts w:hint="default" w:ascii="Times New Roman" w:hAnsi="Times New Roman" w:eastAsia="方正仿宋简体" w:cs="Times New Roman"/>
          <w:snapToGrid w:val="0"/>
          <w:color w:val="000000"/>
          <w:kern w:val="0"/>
          <w:sz w:val="32"/>
          <w:szCs w:val="32"/>
          <w:lang w:val="en-US" w:eastAsia="zh-CN" w:bidi="ar-SA"/>
        </w:rPr>
        <w:t>效和群众满意度</w:t>
      </w:r>
      <w:r>
        <w:rPr>
          <w:rFonts w:hint="eastAsia" w:ascii="Times New Roman" w:hAnsi="Times New Roman" w:eastAsia="方正仿宋简体" w:cs="Times New Roman"/>
          <w:snapToGrid w:val="0"/>
          <w:color w:val="000000"/>
          <w:kern w:val="0"/>
          <w:sz w:val="32"/>
          <w:szCs w:val="32"/>
          <w:lang w:val="en-US" w:eastAsia="zh-CN" w:bidi="ar-SA"/>
        </w:rPr>
        <w:t>；持续推进</w:t>
      </w:r>
      <w:r>
        <w:rPr>
          <w:rFonts w:hint="default" w:ascii="Times New Roman" w:hAnsi="Times New Roman" w:eastAsia="方正仿宋简体" w:cs="Times New Roman"/>
          <w:snapToGrid w:val="0"/>
          <w:color w:val="000000"/>
          <w:kern w:val="0"/>
          <w:sz w:val="32"/>
          <w:szCs w:val="32"/>
          <w:lang w:val="en-US" w:eastAsia="zh-CN" w:bidi="ar-SA"/>
        </w:rPr>
        <w:t>安全生产治本攻坚三年行动任务，持续深化重点行业领域九个“一件事”全链条专项整治。</w:t>
      </w:r>
    </w:p>
    <w:p w14:paraId="4E1D12AC">
      <w:pPr>
        <w:spacing w:line="560" w:lineRule="exact"/>
        <w:ind w:firstLine="640" w:firstLineChars="200"/>
        <w:rPr>
          <w:rFonts w:hint="eastAsia" w:ascii="Times New Roman" w:hAnsi="Times New Roman" w:eastAsia="方正楷体简体" w:cs="Times New Roman"/>
          <w:sz w:val="32"/>
          <w:szCs w:val="32"/>
          <w:lang w:val="en-US" w:eastAsia="zh-CN"/>
        </w:rPr>
      </w:pPr>
    </w:p>
    <w:p w14:paraId="57CDAD38">
      <w:pPr>
        <w:spacing w:line="560" w:lineRule="exact"/>
        <w:ind w:firstLine="640" w:firstLineChars="200"/>
        <w:rPr>
          <w:rFonts w:ascii="Times New Roman" w:hAnsi="Times New Roman" w:eastAsia="方正仿宋简体" w:cs="Times New Roman"/>
          <w:sz w:val="32"/>
          <w:szCs w:val="32"/>
        </w:rPr>
      </w:pPr>
    </w:p>
    <w:p w14:paraId="53D1107A"/>
    <w:sectPr>
      <w:footerReference r:id="rId3" w:type="default"/>
      <w:pgSz w:w="11906" w:h="16838"/>
      <w:pgMar w:top="2098" w:right="1474" w:bottom="1984" w:left="1587" w:header="851" w:footer="1417"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script"/>
    <w:pitch w:val="default"/>
    <w:sig w:usb0="00000001" w:usb1="080E0000" w:usb2="00000000" w:usb3="00000000" w:csb0="00040000" w:csb1="00000000"/>
  </w:font>
  <w:font w:name="方正楷体简体">
    <w:panose1 w:val="03000509000000000000"/>
    <w:charset w:val="86"/>
    <w:family w:val="script"/>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简体">
    <w:panose1 w:val="03000509000000000000"/>
    <w:charset w:val="86"/>
    <w:family w:val="script"/>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FEB0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1B6FBC">
                          <w:pPr>
                            <w:pStyle w:val="3"/>
                            <w:rPr>
                              <w:rFonts w:hint="default" w:ascii="Times New Roman" w:hAnsi="Times New Roman" w:cs="Times New Roman" w:eastAsiaTheme="minorEastAsia"/>
                              <w:sz w:val="28"/>
                              <w:szCs w:val="44"/>
                              <w:lang w:eastAsia="zh-CN"/>
                            </w:rPr>
                          </w:pPr>
                          <w:r>
                            <w:rPr>
                              <w:rFonts w:hint="default" w:ascii="Times New Roman" w:hAnsi="Times New Roman" w:cs="Times New Roman"/>
                              <w:sz w:val="28"/>
                              <w:szCs w:val="44"/>
                              <w:lang w:eastAsia="zh-CN"/>
                            </w:rPr>
                            <w:t xml:space="preserve">— </w:t>
                          </w:r>
                          <w:r>
                            <w:rPr>
                              <w:rFonts w:hint="default" w:ascii="Times New Roman" w:hAnsi="Times New Roman" w:cs="Times New Roman"/>
                              <w:sz w:val="28"/>
                              <w:szCs w:val="44"/>
                              <w:lang w:eastAsia="zh-CN"/>
                            </w:rPr>
                            <w:fldChar w:fldCharType="begin"/>
                          </w:r>
                          <w:r>
                            <w:rPr>
                              <w:rFonts w:hint="default" w:ascii="Times New Roman" w:hAnsi="Times New Roman" w:cs="Times New Roman"/>
                              <w:sz w:val="28"/>
                              <w:szCs w:val="44"/>
                              <w:lang w:eastAsia="zh-CN"/>
                            </w:rPr>
                            <w:instrText xml:space="preserve"> PAGE  \* MERGEFORMAT </w:instrText>
                          </w:r>
                          <w:r>
                            <w:rPr>
                              <w:rFonts w:hint="default" w:ascii="Times New Roman" w:hAnsi="Times New Roman" w:cs="Times New Roman"/>
                              <w:sz w:val="28"/>
                              <w:szCs w:val="44"/>
                              <w:lang w:eastAsia="zh-CN"/>
                            </w:rPr>
                            <w:fldChar w:fldCharType="separate"/>
                          </w:r>
                          <w:r>
                            <w:rPr>
                              <w:rFonts w:hint="default" w:ascii="Times New Roman" w:hAnsi="Times New Roman" w:cs="Times New Roman"/>
                              <w:sz w:val="28"/>
                              <w:szCs w:val="44"/>
                              <w:lang w:eastAsia="zh-CN"/>
                            </w:rPr>
                            <w:t>9</w:t>
                          </w:r>
                          <w:r>
                            <w:rPr>
                              <w:rFonts w:hint="default" w:ascii="Times New Roman" w:hAnsi="Times New Roman" w:cs="Times New Roman"/>
                              <w:sz w:val="28"/>
                              <w:szCs w:val="44"/>
                              <w:lang w:eastAsia="zh-CN"/>
                            </w:rPr>
                            <w:fldChar w:fldCharType="end"/>
                          </w:r>
                          <w:r>
                            <w:rPr>
                              <w:rFonts w:hint="default" w:ascii="Times New Roman" w:hAnsi="Times New Roman" w:cs="Times New Roman"/>
                              <w:sz w:val="28"/>
                              <w:szCs w:val="44"/>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31B6FBC">
                    <w:pPr>
                      <w:pStyle w:val="3"/>
                      <w:rPr>
                        <w:rFonts w:hint="default" w:ascii="Times New Roman" w:hAnsi="Times New Roman" w:cs="Times New Roman" w:eastAsiaTheme="minorEastAsia"/>
                        <w:sz w:val="28"/>
                        <w:szCs w:val="44"/>
                        <w:lang w:eastAsia="zh-CN"/>
                      </w:rPr>
                    </w:pPr>
                    <w:r>
                      <w:rPr>
                        <w:rFonts w:hint="default" w:ascii="Times New Roman" w:hAnsi="Times New Roman" w:cs="Times New Roman"/>
                        <w:sz w:val="28"/>
                        <w:szCs w:val="44"/>
                        <w:lang w:eastAsia="zh-CN"/>
                      </w:rPr>
                      <w:t xml:space="preserve">— </w:t>
                    </w:r>
                    <w:r>
                      <w:rPr>
                        <w:rFonts w:hint="default" w:ascii="Times New Roman" w:hAnsi="Times New Roman" w:cs="Times New Roman"/>
                        <w:sz w:val="28"/>
                        <w:szCs w:val="44"/>
                        <w:lang w:eastAsia="zh-CN"/>
                      </w:rPr>
                      <w:fldChar w:fldCharType="begin"/>
                    </w:r>
                    <w:r>
                      <w:rPr>
                        <w:rFonts w:hint="default" w:ascii="Times New Roman" w:hAnsi="Times New Roman" w:cs="Times New Roman"/>
                        <w:sz w:val="28"/>
                        <w:szCs w:val="44"/>
                        <w:lang w:eastAsia="zh-CN"/>
                      </w:rPr>
                      <w:instrText xml:space="preserve"> PAGE  \* MERGEFORMAT </w:instrText>
                    </w:r>
                    <w:r>
                      <w:rPr>
                        <w:rFonts w:hint="default" w:ascii="Times New Roman" w:hAnsi="Times New Roman" w:cs="Times New Roman"/>
                        <w:sz w:val="28"/>
                        <w:szCs w:val="44"/>
                        <w:lang w:eastAsia="zh-CN"/>
                      </w:rPr>
                      <w:fldChar w:fldCharType="separate"/>
                    </w:r>
                    <w:r>
                      <w:rPr>
                        <w:rFonts w:hint="default" w:ascii="Times New Roman" w:hAnsi="Times New Roman" w:cs="Times New Roman"/>
                        <w:sz w:val="28"/>
                        <w:szCs w:val="44"/>
                        <w:lang w:eastAsia="zh-CN"/>
                      </w:rPr>
                      <w:t>9</w:t>
                    </w:r>
                    <w:r>
                      <w:rPr>
                        <w:rFonts w:hint="default" w:ascii="Times New Roman" w:hAnsi="Times New Roman" w:cs="Times New Roman"/>
                        <w:sz w:val="28"/>
                        <w:szCs w:val="44"/>
                        <w:lang w:eastAsia="zh-CN"/>
                      </w:rPr>
                      <w:fldChar w:fldCharType="end"/>
                    </w:r>
                    <w:r>
                      <w:rPr>
                        <w:rFonts w:hint="default" w:ascii="Times New Roman" w:hAnsi="Times New Roman" w:cs="Times New Roman"/>
                        <w:sz w:val="28"/>
                        <w:szCs w:val="44"/>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A57100"/>
    <w:rsid w:val="01194D31"/>
    <w:rsid w:val="018327DA"/>
    <w:rsid w:val="0284231A"/>
    <w:rsid w:val="02C86A7E"/>
    <w:rsid w:val="032C1EA3"/>
    <w:rsid w:val="040268D9"/>
    <w:rsid w:val="040446BB"/>
    <w:rsid w:val="043F2F81"/>
    <w:rsid w:val="050842EA"/>
    <w:rsid w:val="06B37672"/>
    <w:rsid w:val="07A7031D"/>
    <w:rsid w:val="085E6D37"/>
    <w:rsid w:val="08F668DA"/>
    <w:rsid w:val="094B3987"/>
    <w:rsid w:val="0993459C"/>
    <w:rsid w:val="0A29711D"/>
    <w:rsid w:val="0AF81AF7"/>
    <w:rsid w:val="0B8D340F"/>
    <w:rsid w:val="0C6805B7"/>
    <w:rsid w:val="0C6F1945"/>
    <w:rsid w:val="0CB0724F"/>
    <w:rsid w:val="0CDD71F7"/>
    <w:rsid w:val="0D732DC0"/>
    <w:rsid w:val="0DC21F49"/>
    <w:rsid w:val="0E5F6C53"/>
    <w:rsid w:val="0E6D697F"/>
    <w:rsid w:val="0E95206C"/>
    <w:rsid w:val="0EB967FF"/>
    <w:rsid w:val="0EE553EB"/>
    <w:rsid w:val="0F28662E"/>
    <w:rsid w:val="0FDA5C70"/>
    <w:rsid w:val="10143F73"/>
    <w:rsid w:val="106D0892"/>
    <w:rsid w:val="10D91A83"/>
    <w:rsid w:val="116220E5"/>
    <w:rsid w:val="11D87F8D"/>
    <w:rsid w:val="12A63B4A"/>
    <w:rsid w:val="13113756"/>
    <w:rsid w:val="135F070D"/>
    <w:rsid w:val="13E5054D"/>
    <w:rsid w:val="141A488D"/>
    <w:rsid w:val="14C3163C"/>
    <w:rsid w:val="152C1B48"/>
    <w:rsid w:val="15464809"/>
    <w:rsid w:val="15E67D71"/>
    <w:rsid w:val="162714E3"/>
    <w:rsid w:val="16303226"/>
    <w:rsid w:val="16A11813"/>
    <w:rsid w:val="16AD19E8"/>
    <w:rsid w:val="17102EAC"/>
    <w:rsid w:val="1804388A"/>
    <w:rsid w:val="18D21248"/>
    <w:rsid w:val="18D72D4C"/>
    <w:rsid w:val="192C65E3"/>
    <w:rsid w:val="193B7155"/>
    <w:rsid w:val="19742B63"/>
    <w:rsid w:val="19A57100"/>
    <w:rsid w:val="19C154BB"/>
    <w:rsid w:val="1A0E7657"/>
    <w:rsid w:val="1A4E5290"/>
    <w:rsid w:val="1B32070E"/>
    <w:rsid w:val="1B347A1A"/>
    <w:rsid w:val="1B4A3CA9"/>
    <w:rsid w:val="1B5543FC"/>
    <w:rsid w:val="1BD2047B"/>
    <w:rsid w:val="1C062A6C"/>
    <w:rsid w:val="1DAB1CCD"/>
    <w:rsid w:val="1DD36E51"/>
    <w:rsid w:val="1DD65DBB"/>
    <w:rsid w:val="1E836787"/>
    <w:rsid w:val="1F433613"/>
    <w:rsid w:val="1F446C62"/>
    <w:rsid w:val="1FD565CD"/>
    <w:rsid w:val="20CA13E8"/>
    <w:rsid w:val="22356643"/>
    <w:rsid w:val="22A218B8"/>
    <w:rsid w:val="236C62BC"/>
    <w:rsid w:val="244B0A92"/>
    <w:rsid w:val="244F2EE5"/>
    <w:rsid w:val="25046061"/>
    <w:rsid w:val="25757BD5"/>
    <w:rsid w:val="258B4FC9"/>
    <w:rsid w:val="25EE2BBE"/>
    <w:rsid w:val="267D79A7"/>
    <w:rsid w:val="26830DAC"/>
    <w:rsid w:val="26B93247"/>
    <w:rsid w:val="27C13545"/>
    <w:rsid w:val="27E36B98"/>
    <w:rsid w:val="280D1835"/>
    <w:rsid w:val="281B7F9E"/>
    <w:rsid w:val="28920FC5"/>
    <w:rsid w:val="28D70D73"/>
    <w:rsid w:val="29053273"/>
    <w:rsid w:val="294A57BC"/>
    <w:rsid w:val="29B63E38"/>
    <w:rsid w:val="29E754BD"/>
    <w:rsid w:val="29F85218"/>
    <w:rsid w:val="2B980F11"/>
    <w:rsid w:val="2B9A2944"/>
    <w:rsid w:val="2BA46EFE"/>
    <w:rsid w:val="2BEF4671"/>
    <w:rsid w:val="2C0502A3"/>
    <w:rsid w:val="2C0A2CC0"/>
    <w:rsid w:val="2C4E4635"/>
    <w:rsid w:val="2D21575B"/>
    <w:rsid w:val="2D314CC9"/>
    <w:rsid w:val="2DBA01FC"/>
    <w:rsid w:val="2E112962"/>
    <w:rsid w:val="2EE35A04"/>
    <w:rsid w:val="2EE40F30"/>
    <w:rsid w:val="2F1F0B51"/>
    <w:rsid w:val="2FAE5C12"/>
    <w:rsid w:val="2FF63413"/>
    <w:rsid w:val="305B4325"/>
    <w:rsid w:val="310E416B"/>
    <w:rsid w:val="32901F78"/>
    <w:rsid w:val="32E30764"/>
    <w:rsid w:val="32EB6A85"/>
    <w:rsid w:val="33175440"/>
    <w:rsid w:val="33B33898"/>
    <w:rsid w:val="33F9547A"/>
    <w:rsid w:val="340438F7"/>
    <w:rsid w:val="34665A4A"/>
    <w:rsid w:val="34E800FC"/>
    <w:rsid w:val="35672959"/>
    <w:rsid w:val="358C2BAF"/>
    <w:rsid w:val="35C5383B"/>
    <w:rsid w:val="362B6EE7"/>
    <w:rsid w:val="36B82CF9"/>
    <w:rsid w:val="39A5186C"/>
    <w:rsid w:val="39B96B1E"/>
    <w:rsid w:val="3A8257E7"/>
    <w:rsid w:val="3A8B40B0"/>
    <w:rsid w:val="3A976388"/>
    <w:rsid w:val="3AC86100"/>
    <w:rsid w:val="3B1F0857"/>
    <w:rsid w:val="3B2174CA"/>
    <w:rsid w:val="3B424A68"/>
    <w:rsid w:val="3C0A5FE9"/>
    <w:rsid w:val="3C295899"/>
    <w:rsid w:val="3C37731E"/>
    <w:rsid w:val="3C601127"/>
    <w:rsid w:val="3C625C20"/>
    <w:rsid w:val="3D2263DC"/>
    <w:rsid w:val="3D2761F1"/>
    <w:rsid w:val="3D2A34E3"/>
    <w:rsid w:val="3DDE3D1C"/>
    <w:rsid w:val="3E530817"/>
    <w:rsid w:val="3EAD1CD6"/>
    <w:rsid w:val="3F3D50FD"/>
    <w:rsid w:val="3F4D1C11"/>
    <w:rsid w:val="3F97055B"/>
    <w:rsid w:val="3FDF399D"/>
    <w:rsid w:val="40202501"/>
    <w:rsid w:val="42456EFA"/>
    <w:rsid w:val="42CD3F43"/>
    <w:rsid w:val="433D6B67"/>
    <w:rsid w:val="43AD4A86"/>
    <w:rsid w:val="443A2683"/>
    <w:rsid w:val="44513A93"/>
    <w:rsid w:val="44927617"/>
    <w:rsid w:val="44F56185"/>
    <w:rsid w:val="46EF27ED"/>
    <w:rsid w:val="47107AE6"/>
    <w:rsid w:val="47D67F9D"/>
    <w:rsid w:val="47F65192"/>
    <w:rsid w:val="48CE4062"/>
    <w:rsid w:val="490E3CB9"/>
    <w:rsid w:val="49BB6236"/>
    <w:rsid w:val="49E760C4"/>
    <w:rsid w:val="49FB119D"/>
    <w:rsid w:val="4A1F7EB0"/>
    <w:rsid w:val="4A590F64"/>
    <w:rsid w:val="4A8F4985"/>
    <w:rsid w:val="4A910A80"/>
    <w:rsid w:val="4B4B0544"/>
    <w:rsid w:val="4B7342A7"/>
    <w:rsid w:val="4BCD049E"/>
    <w:rsid w:val="4C035964"/>
    <w:rsid w:val="4C1D2298"/>
    <w:rsid w:val="4CDB30E2"/>
    <w:rsid w:val="4DC51394"/>
    <w:rsid w:val="4E056542"/>
    <w:rsid w:val="4E162EFC"/>
    <w:rsid w:val="4F8E7901"/>
    <w:rsid w:val="500A4F75"/>
    <w:rsid w:val="501F05ED"/>
    <w:rsid w:val="50556D08"/>
    <w:rsid w:val="50CC000E"/>
    <w:rsid w:val="516C0D75"/>
    <w:rsid w:val="51A04E60"/>
    <w:rsid w:val="51A10A42"/>
    <w:rsid w:val="51BA1009"/>
    <w:rsid w:val="51F31C9E"/>
    <w:rsid w:val="524F4A57"/>
    <w:rsid w:val="52D62801"/>
    <w:rsid w:val="52E428F8"/>
    <w:rsid w:val="539955F7"/>
    <w:rsid w:val="5425222B"/>
    <w:rsid w:val="54DB564C"/>
    <w:rsid w:val="54E044C3"/>
    <w:rsid w:val="54F324F8"/>
    <w:rsid w:val="550B2446"/>
    <w:rsid w:val="55AA5934"/>
    <w:rsid w:val="55B10E52"/>
    <w:rsid w:val="56815F40"/>
    <w:rsid w:val="58E6430A"/>
    <w:rsid w:val="59A336C9"/>
    <w:rsid w:val="59AB2256"/>
    <w:rsid w:val="59D5346D"/>
    <w:rsid w:val="5A3A2B60"/>
    <w:rsid w:val="5AFA7F12"/>
    <w:rsid w:val="5BAF4251"/>
    <w:rsid w:val="5BF353CA"/>
    <w:rsid w:val="5BFD3E45"/>
    <w:rsid w:val="5BFE7F16"/>
    <w:rsid w:val="5C02145B"/>
    <w:rsid w:val="5C473E4D"/>
    <w:rsid w:val="5C5E240A"/>
    <w:rsid w:val="5CD64696"/>
    <w:rsid w:val="5DE43C72"/>
    <w:rsid w:val="5E000678"/>
    <w:rsid w:val="5E32399F"/>
    <w:rsid w:val="5E720B41"/>
    <w:rsid w:val="5F441BA1"/>
    <w:rsid w:val="5FE14669"/>
    <w:rsid w:val="60482F27"/>
    <w:rsid w:val="606049A2"/>
    <w:rsid w:val="60627DEA"/>
    <w:rsid w:val="60976E25"/>
    <w:rsid w:val="6153325C"/>
    <w:rsid w:val="618935C6"/>
    <w:rsid w:val="61E7299A"/>
    <w:rsid w:val="626D784A"/>
    <w:rsid w:val="62B805EF"/>
    <w:rsid w:val="632D20DE"/>
    <w:rsid w:val="639D006E"/>
    <w:rsid w:val="643F551C"/>
    <w:rsid w:val="650F1C13"/>
    <w:rsid w:val="657038D9"/>
    <w:rsid w:val="66E53E53"/>
    <w:rsid w:val="674F751F"/>
    <w:rsid w:val="67553383"/>
    <w:rsid w:val="68112A26"/>
    <w:rsid w:val="691C0678"/>
    <w:rsid w:val="69574B58"/>
    <w:rsid w:val="6A573345"/>
    <w:rsid w:val="6ADD0FD4"/>
    <w:rsid w:val="6AFA2377"/>
    <w:rsid w:val="6B177E39"/>
    <w:rsid w:val="6BD6461B"/>
    <w:rsid w:val="6C7A770E"/>
    <w:rsid w:val="6DC548D5"/>
    <w:rsid w:val="6DEB118D"/>
    <w:rsid w:val="6E2745A0"/>
    <w:rsid w:val="6E8061E2"/>
    <w:rsid w:val="6E8B4955"/>
    <w:rsid w:val="6F40683E"/>
    <w:rsid w:val="6F6E180D"/>
    <w:rsid w:val="6FAF3250"/>
    <w:rsid w:val="6FFB06FA"/>
    <w:rsid w:val="7019203A"/>
    <w:rsid w:val="71804EA4"/>
    <w:rsid w:val="71A76466"/>
    <w:rsid w:val="725E7B50"/>
    <w:rsid w:val="72B54CFA"/>
    <w:rsid w:val="72E74AAF"/>
    <w:rsid w:val="73AB01D2"/>
    <w:rsid w:val="73EA4857"/>
    <w:rsid w:val="740E2879"/>
    <w:rsid w:val="741950F0"/>
    <w:rsid w:val="74841862"/>
    <w:rsid w:val="751029E3"/>
    <w:rsid w:val="75150EF0"/>
    <w:rsid w:val="7538180D"/>
    <w:rsid w:val="75A05A09"/>
    <w:rsid w:val="75B47057"/>
    <w:rsid w:val="770562E1"/>
    <w:rsid w:val="77B204A9"/>
    <w:rsid w:val="7981328D"/>
    <w:rsid w:val="7A736149"/>
    <w:rsid w:val="7ACF0C4A"/>
    <w:rsid w:val="7AFF67EE"/>
    <w:rsid w:val="7C2A780A"/>
    <w:rsid w:val="7C745605"/>
    <w:rsid w:val="7D244FA9"/>
    <w:rsid w:val="7D762483"/>
    <w:rsid w:val="7DC86F67"/>
    <w:rsid w:val="7DDEC39B"/>
    <w:rsid w:val="7F4F20F6"/>
    <w:rsid w:val="7FBCAE0C"/>
    <w:rsid w:val="7FD3EAE0"/>
    <w:rsid w:val="D7CFD961"/>
    <w:rsid w:val="E5A774D0"/>
    <w:rsid w:val="FCFF1637"/>
    <w:rsid w:val="FFBFC6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index 4"/>
    <w:basedOn w:val="1"/>
    <w:next w:val="1"/>
    <w:qFormat/>
    <w:uiPriority w:val="99"/>
    <w:pPr>
      <w:ind w:left="600" w:leftChars="6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Strong"/>
    <w:basedOn w:val="6"/>
    <w:qFormat/>
    <w:uiPriority w:val="0"/>
    <w:rPr>
      <w:rFonts w:ascii="Times New Roman" w:hAnsi="Times New Roman" w:eastAsia="宋体" w:cs="Times New Roman"/>
      <w:b/>
    </w:rPr>
  </w:style>
  <w:style w:type="paragraph" w:customStyle="1" w:styleId="8">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9247</Words>
  <Characters>9832</Characters>
  <Lines>0</Lines>
  <Paragraphs>0</Paragraphs>
  <TotalTime>1</TotalTime>
  <ScaleCrop>false</ScaleCrop>
  <LinksUpToDate>false</LinksUpToDate>
  <CharactersWithSpaces>9842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2026-07-07T10:57:00Z</dcterms:created>
  <dc:creator>发改委--收发员(fgwsfy)</dc:creator>
  <cp:lastModifiedBy>发改委--收发员(fgwsfy)</cp:lastModifiedBy>
  <cp:lastPrinted>2026-08-28T02:02:00Z</cp:lastPrinted>
  <dcterms:modified xsi:type="dcterms:W3CDTF">2026-09-01T08:40:28Z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A1F1469C89C64B099AEF54DBB37BF81E_13</vt:lpwstr>
  </property>
  <property fmtid="{D5CDD505-2E9C-101B-9397-08002B2CF9AE}" pid="4" name="KSOTemplateDocerSaveRecord">
    <vt:lpwstr>eyJoZGlkIjoiYTU2OTRjMjE0OGM1Mjc0YzQxYTQ4M2JmNzIzZjAyYTMiLCJ1c2VySWQiOiI1NzcxMjcyNDYifQ==</vt:lpwstr>
  </property>
</Properties>
</file>