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bCs/>
          <w:sz w:val="44"/>
          <w:szCs w:val="44"/>
        </w:rPr>
      </w:pPr>
      <w:bookmarkStart w:id="10" w:name="_GoBack"/>
      <w:r>
        <w:rPr>
          <w:rFonts w:ascii="Times New Roman" w:hAnsi="Times New Roman" w:eastAsia="方正小标宋简体" w:cs="Times New Roman"/>
          <w:bCs/>
          <w:sz w:val="44"/>
          <w:szCs w:val="44"/>
        </w:rPr>
        <w:t>南京市六合区2023年国民经济和社会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发展计划执行情况与2024年国民经济和社会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发展计划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黑体简体" w:cs="Times New Roman"/>
          <w:sz w:val="32"/>
          <w:szCs w:val="32"/>
        </w:rPr>
      </w:pPr>
    </w:p>
    <w:p>
      <w:pPr>
        <w:spacing w:before="156" w:beforeLines="50" w:after="156" w:afterLines="50" w:line="54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2023年国民经济和社会发展计划执行情况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是全面贯彻党的二十大精神的开局之年，是三年新冠疫情防控转段后经济恢复发展的一年。过去一年，全区上下围绕区五届人大二次会议确定的各项年度计划任务，坚持稳中求进工作总基调，精准施策、科学调度，努力克服各种不利因素影响，全力以赴拼经济、稳增长，市场需求逐步恢复、生产供给持续增加、物价就业总体平稳，高质量发展取得新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一、主要指标完成情况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列入区人代会主要指标共七大类36项，预计31项指标能超额完成、基本完成年度目标，受国内外经济形势、宏观政策及投资信心恢复不足等多重因素影响，地区生产总值、全社会固定资产投资、外贸进出口总额、实际利用外资等4项经济指标未达年度目标要求；因大气静稳、边界层降低，全市区域污染严重，空气质量达到二级标准以上天数比例未达市定目标。主要指标预计完成情况详见下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简体" w:cs="Times New Roman"/>
          <w:sz w:val="32"/>
          <w:szCs w:val="32"/>
        </w:rPr>
      </w:pPr>
    </w:p>
    <w:p>
      <w:pPr>
        <w:spacing w:line="560" w:lineRule="exact"/>
        <w:jc w:val="both"/>
        <w:rPr>
          <w:rFonts w:ascii="Times New Roman" w:hAnsi="Times New Roman" w:eastAsia="方正黑体简体" w:cs="Times New Roman"/>
          <w:sz w:val="28"/>
          <w:szCs w:val="28"/>
        </w:rPr>
      </w:pPr>
    </w:p>
    <w:p>
      <w:pPr>
        <w:spacing w:line="560" w:lineRule="exact"/>
        <w:jc w:val="center"/>
        <w:rPr>
          <w:rFonts w:ascii="Times New Roman" w:hAnsi="Times New Roman" w:eastAsia="方正仿宋简体" w:cs="Times New Roman"/>
          <w:sz w:val="32"/>
          <w:szCs w:val="32"/>
        </w:rPr>
      </w:pPr>
      <w:r>
        <w:rPr>
          <w:rFonts w:ascii="Times New Roman" w:hAnsi="Times New Roman" w:eastAsia="方正黑体简体" w:cs="Times New Roman"/>
          <w:sz w:val="28"/>
          <w:szCs w:val="28"/>
        </w:rPr>
        <w:t>2023年主要指标预计完成情况表</w:t>
      </w:r>
    </w:p>
    <w:tbl>
      <w:tblPr>
        <w:tblStyle w:val="4"/>
        <w:tblW w:w="10290" w:type="dxa"/>
        <w:jc w:val="center"/>
        <w:tblBorders>
          <w:top w:val="double" w:color="auto" w:sz="4"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621"/>
        <w:gridCol w:w="3353"/>
        <w:gridCol w:w="923"/>
        <w:gridCol w:w="1833"/>
        <w:gridCol w:w="1601"/>
        <w:gridCol w:w="1272"/>
      </w:tblGrid>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blHeader/>
          <w:jc w:val="center"/>
        </w:trPr>
        <w:tc>
          <w:tcPr>
            <w:tcW w:w="687" w:type="dxa"/>
            <w:vMerge w:val="restart"/>
            <w:tcBorders>
              <w:top w:val="double" w:color="auto" w:sz="4" w:space="0"/>
              <w:left w:val="nil"/>
              <w:bottom w:val="dotted" w:color="auto" w:sz="4" w:space="0"/>
              <w:right w:val="dotted" w:color="auto" w:sz="4" w:space="0"/>
            </w:tcBorders>
            <w:vAlign w:val="center"/>
          </w:tcPr>
          <w:p>
            <w:pPr>
              <w:spacing w:line="240" w:lineRule="exact"/>
              <w:rPr>
                <w:rFonts w:ascii="Times New Roman" w:hAnsi="Times New Roman" w:eastAsia="方正黑体简体" w:cs="Times New Roman"/>
                <w:sz w:val="20"/>
                <w:szCs w:val="20"/>
              </w:rPr>
            </w:pPr>
            <w:r>
              <w:rPr>
                <w:rFonts w:ascii="Times New Roman" w:hAnsi="Times New Roman" w:eastAsia="方正黑体简体" w:cs="Times New Roman"/>
                <w:sz w:val="20"/>
                <w:szCs w:val="20"/>
              </w:rPr>
              <w:t>类别</w:t>
            </w:r>
          </w:p>
        </w:tc>
        <w:tc>
          <w:tcPr>
            <w:tcW w:w="621"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序号</w:t>
            </w:r>
          </w:p>
        </w:tc>
        <w:tc>
          <w:tcPr>
            <w:tcW w:w="335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指标名称</w:t>
            </w:r>
          </w:p>
        </w:tc>
        <w:tc>
          <w:tcPr>
            <w:tcW w:w="92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单位</w:t>
            </w:r>
          </w:p>
        </w:tc>
        <w:tc>
          <w:tcPr>
            <w:tcW w:w="1833" w:type="dxa"/>
            <w:vMerge w:val="restart"/>
            <w:tcBorders>
              <w:top w:val="double"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年度计划</w:t>
            </w:r>
          </w:p>
        </w:tc>
        <w:tc>
          <w:tcPr>
            <w:tcW w:w="2873" w:type="dxa"/>
            <w:gridSpan w:val="2"/>
            <w:tcBorders>
              <w:top w:val="double"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预计完成情况</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blHeader/>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621" w:type="dxa"/>
            <w:vMerge w:val="continue"/>
            <w:tcBorders>
              <w:top w:val="dotted" w:color="auto" w:sz="4" w:space="0"/>
              <w:left w:val="dotted" w:color="auto" w:sz="4" w:space="0"/>
              <w:bottom w:val="dotted" w:color="auto" w:sz="4" w:space="0"/>
              <w:right w:val="dotted" w:color="auto" w:sz="4" w:space="0"/>
            </w:tcBorders>
          </w:tcPr>
          <w:p>
            <w:pPr>
              <w:spacing w:line="240" w:lineRule="exact"/>
              <w:jc w:val="center"/>
              <w:rPr>
                <w:rFonts w:ascii="Times New Roman" w:hAnsi="Times New Roman" w:eastAsia="方正黑体简体" w:cs="Times New Roman"/>
                <w:sz w:val="20"/>
                <w:szCs w:val="20"/>
              </w:rPr>
            </w:pPr>
          </w:p>
        </w:tc>
        <w:tc>
          <w:tcPr>
            <w:tcW w:w="335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92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1833" w:type="dxa"/>
            <w:vMerge w:val="continue"/>
            <w:tcBorders>
              <w:top w:val="dotted" w:color="auto" w:sz="4" w:space="0"/>
              <w:left w:val="dotted" w:color="auto" w:sz="4" w:space="0"/>
              <w:bottom w:val="dotted" w:color="auto" w:sz="4" w:space="0"/>
              <w:right w:val="dotted" w:color="auto" w:sz="4" w:space="0"/>
            </w:tcBorders>
          </w:tcPr>
          <w:p>
            <w:pPr>
              <w:spacing w:line="240" w:lineRule="exact"/>
              <w:rPr>
                <w:rFonts w:ascii="Times New Roman" w:hAnsi="Times New Roman" w:eastAsia="方正黑体简体" w:cs="Times New Roman"/>
                <w:sz w:val="20"/>
                <w:szCs w:val="20"/>
              </w:rPr>
            </w:pP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实绩</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是否达标</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经济综合实力</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地区生产总值</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增长6%以上</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5.1左右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制造业增加值占地区生产总值比重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30以上</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30</w:t>
            </w:r>
            <w:r>
              <w:rPr>
                <w:rFonts w:ascii="Times New Roman" w:hAnsi="Times New Roman" w:eastAsia="方正仿宋简体" w:cs="Times New Roman"/>
                <w:sz w:val="20"/>
                <w:szCs w:val="20"/>
              </w:rPr>
              <w:t>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全社会固定资产投资</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增长8%</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2.9</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社会消费品零售总额</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增长6%</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6</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外贸进出口总额</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增长3.5%</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-21.9</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实际利用外资</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万美元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27000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5000</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jc w:val="center"/>
        </w:trPr>
        <w:tc>
          <w:tcPr>
            <w:tcW w:w="687" w:type="dxa"/>
            <w:vMerge w:val="continue"/>
            <w:tcBorders>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一般公共预算收入</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增长8%左右</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9.5左右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现代产业体系</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高新技术产业产值占规模以上工业产值比重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力争56</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56</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净增高新技术企业数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74</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工业战略性新兴产业总产值占工业总产值比重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38以上</w:t>
            </w:r>
          </w:p>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力争40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黑体简体" w:cs="Times New Roman"/>
                <w:sz w:val="20"/>
                <w:szCs w:val="20"/>
              </w:rPr>
              <w:t>40</w:t>
            </w:r>
            <w:r>
              <w:rPr>
                <w:rFonts w:ascii="Times New Roman" w:hAnsi="Times New Roman" w:eastAsia="方正仿宋简体" w:cs="Times New Roman"/>
                <w:sz w:val="20"/>
                <w:szCs w:val="20"/>
              </w:rPr>
              <w:t>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黑体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制造业智能化改造和数字化转型改造企业</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216</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数字经济核心产业增加值占地区生产总值比重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创新人才支撑</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全社会研发经费支出占地区生产总值比重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2.6以上</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2.86左右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687" w:type="dxa"/>
            <w:vMerge w:val="continue"/>
            <w:tcBorders>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有效发明专利拥有量</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件</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1260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创新人才支撑</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新增取得高级工以上职业资格证书或职业技能等级证书</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人次</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985</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jc w:val="center"/>
        </w:trPr>
        <w:tc>
          <w:tcPr>
            <w:tcW w:w="687" w:type="dxa"/>
            <w:vMerge w:val="continue"/>
            <w:tcBorders>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文化产业增加值占地区生产总值比重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提高0.1个百分点</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提高0.1个</w:t>
            </w:r>
          </w:p>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百分点以上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687" w:type="dxa"/>
            <w:vMerge w:val="restart"/>
            <w:tcBorders>
              <w:top w:val="dotted" w:color="auto" w:sz="4" w:space="0"/>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公共服务能力</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城乡基本养老保险参保缴费率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90以上</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90以上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城乡基本医疗保险参保率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99以上</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99以上</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新开工改造城镇老旧小区</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户</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375</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375</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每千人口拥有0-3岁婴幼儿托位数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个</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3.3</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5.1</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每千人执业（助理）医师数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2.54</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2.56</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jc w:val="center"/>
        </w:trPr>
        <w:tc>
          <w:tcPr>
            <w:tcW w:w="687" w:type="dxa"/>
            <w:vMerge w:val="continue"/>
            <w:tcBorders>
              <w:left w:val="nil"/>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每千人口医疗卫生机构床位数</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张</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3.8</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687" w:type="dxa"/>
            <w:vMerge w:val="continue"/>
            <w:tcBorders>
              <w:left w:val="nil"/>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接受上门服务的居家老年人数占比</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27.1</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687" w:type="dxa"/>
            <w:vMerge w:val="continue"/>
            <w:tcBorders>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普惠性幼儿园覆盖率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97以上</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人民共同富裕</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全体居民人均可支配收入增速</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高于GDP增速</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26</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城镇新增就业</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人</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4000</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7600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27</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城镇调查失业率</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省定标准以内</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省定标准以内</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exact"/>
          <w:jc w:val="center"/>
        </w:trPr>
        <w:tc>
          <w:tcPr>
            <w:tcW w:w="687" w:type="dxa"/>
            <w:vMerge w:val="restart"/>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绿色低碳发展</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28</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地表水省考断面达到或好于Ⅲ类水质比例</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100</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29</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空气质量达到二级标准以上天数比例</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82.2</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否</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30</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单位GDP二氧化碳排放量降低</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31</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细颗粒物（PM</w:t>
            </w:r>
            <w:r>
              <w:rPr>
                <w:rFonts w:ascii="Times New Roman" w:hAnsi="Times New Roman" w:eastAsia="方正仿宋简体" w:cs="Times New Roman"/>
                <w:sz w:val="20"/>
                <w:szCs w:val="20"/>
                <w:vertAlign w:val="subscript"/>
              </w:rPr>
              <w:t>2.5</w:t>
            </w:r>
            <w:r>
              <w:rPr>
                <w:rFonts w:ascii="Times New Roman" w:hAnsi="Times New Roman" w:eastAsia="方正仿宋简体" w:cs="Times New Roman"/>
                <w:sz w:val="20"/>
                <w:szCs w:val="20"/>
              </w:rPr>
              <w:t>）浓度</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25.9</w:t>
            </w:r>
          </w:p>
        </w:tc>
        <w:tc>
          <w:tcPr>
            <w:tcW w:w="1272" w:type="dxa"/>
            <w:tcBorders>
              <w:top w:val="dotted" w:color="auto" w:sz="4" w:space="0"/>
              <w:left w:val="dotted" w:color="auto" w:sz="4" w:space="0"/>
              <w:bottom w:val="dotted" w:color="auto" w:sz="4" w:space="0"/>
              <w:right w:val="nil"/>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exact"/>
          <w:jc w:val="center"/>
        </w:trPr>
        <w:tc>
          <w:tcPr>
            <w:tcW w:w="687" w:type="dxa"/>
            <w:vMerge w:val="continue"/>
            <w:tcBorders>
              <w:top w:val="dotted" w:color="auto" w:sz="4" w:space="0"/>
              <w:left w:val="nil"/>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32</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单位工业增加值能耗下降</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达市定目标</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达市定目标</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687" w:type="dxa"/>
            <w:vMerge w:val="continue"/>
            <w:tcBorders>
              <w:top w:val="dotted" w:color="auto" w:sz="4" w:space="0"/>
              <w:left w:val="nil"/>
              <w:bottom w:val="dotted"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33</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单位GDP建设用地使用面积</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公顷/</w:t>
            </w:r>
          </w:p>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亿元</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持续下降</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40.21左右</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exact"/>
          <w:jc w:val="center"/>
        </w:trPr>
        <w:tc>
          <w:tcPr>
            <w:tcW w:w="687" w:type="dxa"/>
            <w:vMerge w:val="restart"/>
            <w:tcBorders>
              <w:top w:val="dotted" w:color="auto" w:sz="4" w:space="0"/>
              <w:left w:val="nil"/>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安全保障水平</w:t>
            </w: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34</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耕地保有量</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万公顷</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5.16</w:t>
            </w:r>
          </w:p>
        </w:tc>
        <w:tc>
          <w:tcPr>
            <w:tcW w:w="160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5.189</w:t>
            </w:r>
          </w:p>
        </w:tc>
        <w:tc>
          <w:tcPr>
            <w:tcW w:w="1272" w:type="dxa"/>
            <w:tcBorders>
              <w:top w:val="dotted" w:color="auto" w:sz="4" w:space="0"/>
              <w:left w:val="dotted" w:color="auto" w:sz="4" w:space="0"/>
              <w:bottom w:val="dotted" w:color="auto" w:sz="4" w:space="0"/>
              <w:right w:val="nil"/>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687" w:type="dxa"/>
            <w:vMerge w:val="continue"/>
            <w:tcBorders>
              <w:top w:val="dotted" w:color="auto" w:sz="4" w:space="0"/>
              <w:left w:val="nil"/>
              <w:bottom w:val="double"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35</w:t>
            </w:r>
          </w:p>
        </w:tc>
        <w:tc>
          <w:tcPr>
            <w:tcW w:w="3353" w:type="dxa"/>
            <w:tcBorders>
              <w:top w:val="dotted" w:color="auto" w:sz="4" w:space="0"/>
              <w:left w:val="dotted" w:color="auto" w:sz="4" w:space="0"/>
              <w:bottom w:val="dotted"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粮食综合生产能力</w:t>
            </w:r>
          </w:p>
        </w:tc>
        <w:tc>
          <w:tcPr>
            <w:tcW w:w="92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tted"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达市考核目标</w:t>
            </w:r>
          </w:p>
        </w:tc>
        <w:tc>
          <w:tcPr>
            <w:tcW w:w="1601" w:type="dxa"/>
            <w:tcBorders>
              <w:top w:val="dotted" w:color="auto" w:sz="4" w:space="0"/>
              <w:left w:val="dotted" w:color="auto" w:sz="4" w:space="0"/>
              <w:bottom w:val="dotted" w:color="auto" w:sz="4" w:space="0"/>
              <w:right w:val="nil"/>
            </w:tcBorders>
            <w:vAlign w:val="center"/>
          </w:tcPr>
          <w:p>
            <w:pPr>
              <w:spacing w:line="20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粮食种植面积近90万亩</w:t>
            </w:r>
          </w:p>
        </w:tc>
        <w:tc>
          <w:tcPr>
            <w:tcW w:w="1272" w:type="dxa"/>
            <w:tcBorders>
              <w:top w:val="dotted" w:color="auto" w:sz="4" w:space="0"/>
              <w:left w:val="dotted" w:color="auto" w:sz="4" w:space="0"/>
              <w:bottom w:val="dotted" w:color="auto" w:sz="4" w:space="0"/>
              <w:right w:val="nil"/>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r>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87" w:type="dxa"/>
            <w:vMerge w:val="continue"/>
            <w:tcBorders>
              <w:top w:val="dotted" w:color="auto" w:sz="4" w:space="0"/>
              <w:bottom w:val="double" w:color="auto" w:sz="4" w:space="0"/>
              <w:right w:val="dotted" w:color="auto" w:sz="4" w:space="0"/>
            </w:tcBorders>
          </w:tcPr>
          <w:p>
            <w:pPr>
              <w:spacing w:line="240" w:lineRule="exact"/>
              <w:rPr>
                <w:rFonts w:ascii="Times New Roman" w:hAnsi="Times New Roman" w:eastAsia="方正仿宋简体" w:cs="Times New Roman"/>
                <w:sz w:val="20"/>
                <w:szCs w:val="20"/>
              </w:rPr>
            </w:pPr>
          </w:p>
        </w:tc>
        <w:tc>
          <w:tcPr>
            <w:tcW w:w="621"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36</w:t>
            </w:r>
          </w:p>
        </w:tc>
        <w:tc>
          <w:tcPr>
            <w:tcW w:w="3353" w:type="dxa"/>
            <w:tcBorders>
              <w:top w:val="dotted" w:color="auto" w:sz="4" w:space="0"/>
              <w:left w:val="dotted" w:color="auto" w:sz="4" w:space="0"/>
              <w:bottom w:val="double" w:color="auto" w:sz="4" w:space="0"/>
              <w:right w:val="dotted" w:color="auto" w:sz="4" w:space="0"/>
            </w:tcBorders>
            <w:vAlign w:val="center"/>
          </w:tcPr>
          <w:p>
            <w:pPr>
              <w:spacing w:line="240" w:lineRule="exact"/>
              <w:rPr>
                <w:rFonts w:ascii="Times New Roman" w:hAnsi="Times New Roman" w:eastAsia="方正仿宋简体" w:cs="Times New Roman"/>
                <w:sz w:val="20"/>
                <w:szCs w:val="20"/>
              </w:rPr>
            </w:pPr>
            <w:r>
              <w:rPr>
                <w:rFonts w:ascii="Times New Roman" w:hAnsi="Times New Roman" w:eastAsia="方正仿宋简体" w:cs="Times New Roman"/>
                <w:sz w:val="20"/>
                <w:szCs w:val="20"/>
              </w:rPr>
              <w:t>安全生产发展水平</w:t>
            </w:r>
          </w:p>
        </w:tc>
        <w:tc>
          <w:tcPr>
            <w:tcW w:w="923"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w:t>
            </w:r>
          </w:p>
        </w:tc>
        <w:tc>
          <w:tcPr>
            <w:tcW w:w="1833" w:type="dxa"/>
            <w:tcBorders>
              <w:top w:val="dotted" w:color="auto" w:sz="4" w:space="0"/>
              <w:left w:val="dotted" w:color="auto" w:sz="4" w:space="0"/>
              <w:bottom w:val="double" w:color="auto" w:sz="4" w:space="0"/>
              <w:right w:val="dotted" w:color="auto" w:sz="4" w:space="0"/>
            </w:tcBorders>
            <w:vAlign w:val="center"/>
          </w:tcPr>
          <w:p>
            <w:pPr>
              <w:spacing w:line="240" w:lineRule="exact"/>
              <w:jc w:val="center"/>
              <w:rPr>
                <w:rFonts w:ascii="Times New Roman" w:hAnsi="Times New Roman" w:eastAsia="方正仿宋简体" w:cs="Times New Roman"/>
                <w:snapToGrid w:val="0"/>
                <w:sz w:val="20"/>
                <w:szCs w:val="20"/>
              </w:rPr>
            </w:pPr>
            <w:r>
              <w:rPr>
                <w:rFonts w:ascii="Times New Roman" w:hAnsi="Times New Roman" w:eastAsia="方正仿宋简体" w:cs="Times New Roman"/>
                <w:snapToGrid w:val="0"/>
                <w:sz w:val="20"/>
                <w:szCs w:val="20"/>
              </w:rPr>
              <w:t>达市考核目标</w:t>
            </w:r>
          </w:p>
        </w:tc>
        <w:tc>
          <w:tcPr>
            <w:tcW w:w="1601" w:type="dxa"/>
            <w:tcBorders>
              <w:top w:val="dotted" w:color="auto" w:sz="4" w:space="0"/>
              <w:left w:val="dotted" w:color="auto" w:sz="4" w:space="0"/>
              <w:bottom w:val="double" w:color="auto" w:sz="4" w:space="0"/>
              <w:right w:val="nil"/>
            </w:tcBorders>
            <w:vAlign w:val="center"/>
          </w:tcPr>
          <w:p>
            <w:pPr>
              <w:spacing w:line="200" w:lineRule="exact"/>
              <w:jc w:val="center"/>
              <w:rPr>
                <w:rFonts w:ascii="Times New Roman" w:hAnsi="Times New Roman" w:eastAsia="方正仿宋简体" w:cs="Times New Roman"/>
                <w:sz w:val="20"/>
                <w:szCs w:val="20"/>
              </w:rPr>
            </w:pPr>
            <w:r>
              <w:rPr>
                <w:rFonts w:ascii="Times New Roman" w:hAnsi="Times New Roman" w:eastAsia="方正仿宋简体" w:cs="Times New Roman"/>
                <w:snapToGrid w:val="0"/>
                <w:sz w:val="20"/>
                <w:szCs w:val="20"/>
              </w:rPr>
              <w:t>达市考核目标</w:t>
            </w:r>
          </w:p>
        </w:tc>
        <w:tc>
          <w:tcPr>
            <w:tcW w:w="1272" w:type="dxa"/>
            <w:tcBorders>
              <w:top w:val="dotted" w:color="auto" w:sz="4" w:space="0"/>
              <w:left w:val="dotted" w:color="auto" w:sz="4" w:space="0"/>
              <w:bottom w:val="double" w:color="auto" w:sz="4" w:space="0"/>
              <w:right w:val="nil"/>
            </w:tcBorders>
            <w:vAlign w:val="center"/>
          </w:tcPr>
          <w:p>
            <w:pPr>
              <w:jc w:val="center"/>
              <w:rPr>
                <w:rFonts w:ascii="Times New Roman" w:hAnsi="Times New Roman" w:eastAsia="方正仿宋简体" w:cs="Times New Roman"/>
                <w:sz w:val="20"/>
                <w:szCs w:val="20"/>
              </w:rPr>
            </w:pPr>
            <w:r>
              <w:rPr>
                <w:rFonts w:ascii="Times New Roman" w:hAnsi="Times New Roman" w:eastAsia="方正仿宋简体" w:cs="Times New Roman"/>
                <w:sz w:val="20"/>
                <w:szCs w:val="20"/>
              </w:rPr>
              <w:t>是</w:t>
            </w:r>
          </w:p>
        </w:tc>
      </w:tr>
    </w:tbl>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二、重点项目进展情况</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2023年全区重大项目146个</w:t>
      </w:r>
      <w:r>
        <w:rPr>
          <w:rFonts w:ascii="Times New Roman" w:hAnsi="Times New Roman" w:eastAsia="方正楷体简体" w:cs="Times New Roman"/>
          <w:sz w:val="32"/>
          <w:szCs w:val="32"/>
        </w:rPr>
        <w:t>（含19个力争开工项目）</w:t>
      </w:r>
      <w:r>
        <w:rPr>
          <w:rFonts w:ascii="Times New Roman" w:hAnsi="Times New Roman" w:eastAsia="方正仿宋简体" w:cs="Times New Roman"/>
          <w:sz w:val="32"/>
          <w:szCs w:val="32"/>
        </w:rPr>
        <w:t>，总投资1127.7亿元，当年计划投资202.4亿元。全年完成投资224亿元，占年度计划的110.7%；44个计划新开工项目开工43个，开工率97.7%；5个力争开工项目和1个前期项目提前开工。15个市重大项目</w:t>
      </w:r>
      <w:r>
        <w:rPr>
          <w:rFonts w:ascii="Times New Roman" w:hAnsi="Times New Roman" w:eastAsia="方正楷体简体" w:cs="Times New Roman"/>
          <w:sz w:val="32"/>
          <w:szCs w:val="32"/>
        </w:rPr>
        <w:t>（含1个省重大，3个力争开工项目）</w:t>
      </w:r>
      <w:r>
        <w:rPr>
          <w:rFonts w:ascii="Times New Roman" w:hAnsi="Times New Roman" w:eastAsia="方正仿宋简体" w:cs="Times New Roman"/>
          <w:sz w:val="32"/>
          <w:szCs w:val="32"/>
        </w:rPr>
        <w:t>全年完成投资58亿元、占年度计划的121.3%。政府投资项目55个，当年计划投资30.7亿元，全年项目实施率100%，投资完成率94%左右。</w:t>
      </w:r>
    </w:p>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三、主要工作成效</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color w:val="000000" w:themeColor="text1"/>
          <w:kern w:val="0"/>
          <w:sz w:val="32"/>
          <w:szCs w:val="32"/>
          <w14:textFill>
            <w14:solidFill>
              <w14:schemeClr w14:val="tx1"/>
            </w14:solidFill>
          </w14:textFill>
        </w:rPr>
        <w:t>1.创新要素加速集聚，产业转型提质增效。</w:t>
      </w:r>
      <w:r>
        <w:rPr>
          <w:rFonts w:ascii="Times New Roman" w:hAnsi="Times New Roman" w:eastAsia="方正楷体简体" w:cs="Times New Roman"/>
          <w:sz w:val="32"/>
          <w:szCs w:val="32"/>
        </w:rPr>
        <w:t>创新生态持续优化。</w:t>
      </w:r>
      <w:r>
        <w:rPr>
          <w:rFonts w:ascii="Times New Roman" w:hAnsi="Times New Roman" w:eastAsia="方正仿宋简体" w:cs="Times New Roman"/>
          <w:sz w:val="32"/>
          <w:szCs w:val="32"/>
        </w:rPr>
        <w:t>依托六合产业科技创新港，规划布局“501科创产业带”，引入包括2个全国重点实验室在内的重大创新平台4家、央企校地联合实验室4个、人才和产业化项目49个，南航国际创新港一期、六合智创城有序推进，先进复合材料科技与装备制造业创新中心创成省级人才攻关联合体；</w:t>
      </w:r>
      <w:r>
        <w:rPr>
          <w:rFonts w:ascii="Times New Roman" w:hAnsi="Times New Roman" w:eastAsia="方正仿宋_GBK" w:cs="Times New Roman"/>
          <w:sz w:val="32"/>
          <w:szCs w:val="24"/>
        </w:rPr>
        <w:t>航空航天产业园（六合科技城）</w:t>
      </w:r>
      <w:r>
        <w:rPr>
          <w:rFonts w:ascii="Times New Roman" w:hAnsi="Times New Roman" w:eastAsia="方正仿宋简体" w:cs="Times New Roman"/>
          <w:sz w:val="32"/>
          <w:szCs w:val="32"/>
        </w:rPr>
        <w:t>建成投用；成立总规模10亿元的科技创新产业发展基金；</w:t>
      </w:r>
      <w:r>
        <w:rPr>
          <w:rFonts w:ascii="Times New Roman" w:hAnsi="Times New Roman" w:eastAsia="方正仿宋简体" w:cs="Times New Roman"/>
          <w:sz w:val="32"/>
          <w:szCs w:val="40"/>
        </w:rPr>
        <w:t>高新技术产业投资增</w:t>
      </w:r>
      <w:r>
        <w:rPr>
          <w:rFonts w:ascii="Times New Roman" w:hAnsi="Times New Roman" w:eastAsia="方正仿宋简体" w:cs="Times New Roman"/>
          <w:sz w:val="32"/>
          <w:szCs w:val="32"/>
        </w:rPr>
        <w:t>长20%以上；累计入库科技型中小企业超过1000家；技术合同成交额21亿元，完成市定目标的123.5%；</w:t>
      </w:r>
      <w:r>
        <w:rPr>
          <w:rFonts w:ascii="Times New Roman" w:hAnsi="Times New Roman" w:eastAsia="方正仿宋简体" w:cs="Times New Roman"/>
          <w:sz w:val="32"/>
          <w:szCs w:val="40"/>
        </w:rPr>
        <w:t>重点监测企业研发经费同比增长20%</w:t>
      </w:r>
      <w:r>
        <w:rPr>
          <w:rFonts w:ascii="Times New Roman" w:hAnsi="Times New Roman" w:eastAsia="方正仿宋简体" w:cs="Times New Roman"/>
          <w:sz w:val="32"/>
          <w:szCs w:val="32"/>
        </w:rPr>
        <w:t>；新研及孵化引进企业营收超14亿元；大地益源获批组建省工程研究中心</w:t>
      </w:r>
      <w:r>
        <w:rPr>
          <w:rFonts w:ascii="Times New Roman" w:hAnsi="Times New Roman" w:eastAsia="方正仿宋简体" w:cs="Times New Roman"/>
          <w:sz w:val="32"/>
          <w:szCs w:val="40"/>
        </w:rPr>
        <w:t>；</w:t>
      </w:r>
      <w:r>
        <w:rPr>
          <w:rFonts w:ascii="Times New Roman" w:hAnsi="Times New Roman" w:eastAsia="方正仿宋简体" w:cs="Times New Roman"/>
          <w:sz w:val="32"/>
          <w:szCs w:val="32"/>
        </w:rPr>
        <w:t>建成全省首个知识产权主题公园，有效发明专利拥有量达1260件、完成市定目标的139.6%；强化人才引进培育，申报国家高层次人才5人、火炬计划4人。</w:t>
      </w:r>
      <w:r>
        <w:rPr>
          <w:rFonts w:ascii="Times New Roman" w:hAnsi="Times New Roman" w:eastAsia="方正楷体简体" w:cs="Times New Roman"/>
          <w:sz w:val="32"/>
          <w:szCs w:val="32"/>
        </w:rPr>
        <w:t>产业转型步伐加快。</w:t>
      </w:r>
      <w:r>
        <w:rPr>
          <w:rFonts w:ascii="Times New Roman" w:hAnsi="Times New Roman" w:eastAsia="方正仿宋简体" w:cs="Times New Roman"/>
          <w:sz w:val="32"/>
          <w:szCs w:val="32"/>
        </w:rPr>
        <w:t>深入实施产业强区战略，培育壮大“3+1”创新型产业集群，新能源、智能制造装备产业链主营业务收入分别增长45%、4.7%，新能源汽车动力总成产业集群被评为省级中小企业特色产业集群；</w:t>
      </w:r>
      <w:r>
        <w:rPr>
          <w:rFonts w:ascii="Times New Roman" w:hAnsi="Times New Roman" w:eastAsia="方正仿宋简体" w:cs="Times New Roman"/>
          <w:color w:val="000000" w:themeColor="text1"/>
          <w:sz w:val="32"/>
          <w:szCs w:val="32"/>
          <w14:textFill>
            <w14:solidFill>
              <w14:schemeClr w14:val="tx1"/>
            </w14:solidFill>
          </w14:textFill>
        </w:rPr>
        <w:t>加快推进企业转型升级，</w:t>
      </w:r>
      <w:r>
        <w:rPr>
          <w:rFonts w:ascii="Times New Roman" w:hAnsi="Times New Roman" w:eastAsia="方正仿宋简体" w:cs="Times New Roman"/>
          <w:sz w:val="32"/>
          <w:szCs w:val="32"/>
        </w:rPr>
        <w:t>久鼎环境入选国家专精特新“小巨人”企业名单；2家企业通过工信部两化融合贯标体系认证；23家企业通过省星级上云认定，其中舒普思达等4家企业通过四星级认证；盘活低效工业用地1500亩；兑现工业和信息化转型升级资金4048万元；新增规上服务业企业31家；</w:t>
      </w:r>
      <w:r>
        <w:rPr>
          <w:rFonts w:ascii="Times New Roman" w:hAnsi="Times New Roman" w:eastAsia="方正仿宋简体" w:cs="Times New Roman"/>
          <w:color w:val="000000" w:themeColor="text1"/>
          <w:sz w:val="32"/>
          <w:szCs w:val="32"/>
          <w14:textFill>
            <w14:solidFill>
              <w14:schemeClr w14:val="tx1"/>
            </w14:solidFill>
          </w14:textFill>
        </w:rPr>
        <w:t>参与GDP核算的规上服务业营收增长7.8%；</w:t>
      </w:r>
      <w:r>
        <w:rPr>
          <w:rFonts w:ascii="Times New Roman" w:hAnsi="Times New Roman" w:eastAsia="方正仿宋简体" w:cs="Times New Roman"/>
          <w:sz w:val="32"/>
          <w:szCs w:val="32"/>
        </w:rPr>
        <w:t>金牛湖旅游度假区创成省现代服务业集聚区</w:t>
      </w:r>
      <w:r>
        <w:rPr>
          <w:rFonts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sz w:val="32"/>
          <w:szCs w:val="32"/>
        </w:rPr>
        <w:t>第五次</w:t>
      </w:r>
      <w:r>
        <w:rPr>
          <w:rFonts w:ascii="Times New Roman" w:hAnsi="Times New Roman" w:eastAsia="方正仿宋简体" w:cs="Times New Roman"/>
          <w:color w:val="000000" w:themeColor="text1"/>
          <w:sz w:val="32"/>
          <w:szCs w:val="32"/>
          <w14:textFill>
            <w14:solidFill>
              <w14:schemeClr w14:val="tx1"/>
            </w14:solidFill>
          </w14:textFill>
        </w:rPr>
        <w:t>全国</w:t>
      </w:r>
      <w:r>
        <w:rPr>
          <w:rFonts w:ascii="Times New Roman" w:hAnsi="Times New Roman" w:eastAsia="方正仿宋简体" w:cs="Times New Roman"/>
          <w:sz w:val="32"/>
          <w:szCs w:val="32"/>
        </w:rPr>
        <w:t>经济普查清查有序开展。</w:t>
      </w:r>
      <w:r>
        <w:rPr>
          <w:rFonts w:ascii="Times New Roman" w:hAnsi="Times New Roman" w:eastAsia="方正楷体简体" w:cs="Times New Roman"/>
          <w:sz w:val="32"/>
          <w:szCs w:val="32"/>
        </w:rPr>
        <w:t>投资消费支撑有力。</w:t>
      </w:r>
      <w:r>
        <w:rPr>
          <w:rFonts w:ascii="Times New Roman" w:hAnsi="Times New Roman" w:eastAsia="方正仿宋简体" w:cs="Times New Roman"/>
          <w:sz w:val="32"/>
          <w:szCs w:val="32"/>
        </w:rPr>
        <w:t>深入推进数字人民币试点，打造欢乐港、龙湖天街等数字货币消费体验商圈，发放数字货币消费券90余万元；实施消费促进“双百计划”，引入区域首店20多家，举办茉莉花文化旅游节、金牛湖紫金音乐节、龙袍蟹黄汤包节等促消费活动，限上商品销售额增长13.5%；新增限上贸易企业66家；兑现商贸奖励扶持资金525万元；</w:t>
      </w:r>
      <w:r>
        <w:rPr>
          <w:rFonts w:ascii="Times New Roman" w:hAnsi="Times New Roman" w:eastAsia="方正仿宋简体" w:cs="Times New Roman"/>
          <w:kern w:val="0"/>
          <w:sz w:val="32"/>
          <w:szCs w:val="32"/>
          <w:lang w:bidi="ar"/>
        </w:rPr>
        <w:t>依托“茉莉六合”公用品牌拓销路、提效益，带动优质农产品销售5亿元</w:t>
      </w:r>
      <w:r>
        <w:rPr>
          <w:rFonts w:ascii="Times New Roman" w:hAnsi="Times New Roman" w:eastAsia="方正仿宋简体" w:cs="Times New Roman"/>
          <w:sz w:val="32"/>
          <w:szCs w:val="32"/>
        </w:rPr>
        <w:t>；实际</w:t>
      </w:r>
      <w:r>
        <w:rPr>
          <w:rFonts w:ascii="Times New Roman" w:hAnsi="Times New Roman" w:eastAsia="方正仿宋简体" w:cs="Times New Roman"/>
          <w:sz w:val="32"/>
          <w:szCs w:val="40"/>
        </w:rPr>
        <w:t>发放购房补助、房票等资金约2188万元，促进楼市平稳健康发展</w:t>
      </w:r>
      <w:r>
        <w:rPr>
          <w:rFonts w:ascii="Times New Roman" w:hAnsi="Times New Roman" w:eastAsia="方正仿宋简体" w:cs="Times New Roman"/>
          <w:sz w:val="32"/>
          <w:szCs w:val="32"/>
        </w:rPr>
        <w:t>；新培育跨境电商5家、市级电子商务示范基地1家；组织企业参加广交会等知名展会，参展企业数和展位数创历史新高。</w:t>
      </w:r>
      <w:r>
        <w:rPr>
          <w:rFonts w:ascii="Times New Roman" w:hAnsi="Times New Roman" w:eastAsia="方正楷体简体" w:cs="Times New Roman"/>
          <w:sz w:val="32"/>
          <w:szCs w:val="32"/>
        </w:rPr>
        <w:t>农文体旅高效融合。</w:t>
      </w:r>
      <w:r>
        <w:rPr>
          <w:rFonts w:ascii="Times New Roman" w:hAnsi="Times New Roman" w:eastAsia="方正仿宋简体" w:cs="Times New Roman"/>
          <w:kern w:val="0"/>
          <w:sz w:val="32"/>
          <w:szCs w:val="32"/>
          <w:lang w:bidi="ar"/>
        </w:rPr>
        <w:t>全年粮食播种面积近90万亩、总产突破41万吨，实现面积、总产、单产“三个同步增长”</w:t>
      </w:r>
      <w:r>
        <w:rPr>
          <w:rFonts w:ascii="Times New Roman" w:hAnsi="Times New Roman" w:eastAsia="方正仿宋简体" w:cs="Times New Roman"/>
          <w:sz w:val="32"/>
          <w:szCs w:val="32"/>
        </w:rPr>
        <w:t>；获评国家水产健康养殖和生态养殖示范区，新</w:t>
      </w:r>
      <w:r>
        <w:rPr>
          <w:rFonts w:ascii="Times New Roman" w:hAnsi="Times New Roman" w:eastAsia="方正仿宋简体" w:cs="Times New Roman"/>
          <w:kern w:val="0"/>
          <w:sz w:val="32"/>
          <w:szCs w:val="32"/>
          <w:lang w:bidi="ar"/>
        </w:rPr>
        <w:t>增首批国家农业产业强镇1个、国家级</w:t>
      </w:r>
      <w:r>
        <w:rPr>
          <w:rFonts w:ascii="Times New Roman" w:hAnsi="Times New Roman" w:eastAsia="方正仿宋简体" w:cs="Times New Roman"/>
          <w:sz w:val="32"/>
          <w:szCs w:val="32"/>
        </w:rPr>
        <w:t>农业龙头企业1家、市级以上示范家庭农场22家</w:t>
      </w:r>
      <w:r>
        <w:rPr>
          <w:rFonts w:ascii="Times New Roman" w:hAnsi="Times New Roman" w:eastAsia="方正仿宋简体" w:cs="Times New Roman"/>
          <w:kern w:val="0"/>
          <w:sz w:val="32"/>
          <w:szCs w:val="32"/>
          <w:lang w:bidi="ar"/>
        </w:rPr>
        <w:t>；龙</w:t>
      </w:r>
      <w:r>
        <w:rPr>
          <w:rFonts w:ascii="Times New Roman" w:hAnsi="Times New Roman" w:eastAsia="方正仿宋简体" w:cs="Times New Roman"/>
          <w:sz w:val="32"/>
          <w:szCs w:val="32"/>
        </w:rPr>
        <w:t>袍蟹黄汤包、六合牛脯制作技艺入选省级非遗名录；开展群众性文化及非遗活动4000多场次，送文化下乡90场，送图书1.29万册，送电影370场；区图书馆、冶山农民画美术馆入选省“最美公共文化空间”；组织群众体育赛事120余场次；获市首批“社区足球示范区”称号；滁河南岸健身步道被评为全省最美跑步路线；金牛湖野生动物王国创成国家4A级景区；</w:t>
      </w:r>
      <w:r>
        <w:rPr>
          <w:rFonts w:ascii="Times New Roman" w:hAnsi="Times New Roman" w:eastAsia="方正仿宋简体" w:cs="Times New Roman"/>
          <w:color w:val="000000"/>
          <w:sz w:val="32"/>
          <w:szCs w:val="32"/>
        </w:rPr>
        <w:t>“观荷胜地池杉湖”“多彩竹镇”获评省乡村旅游业态创新示范产品；竹镇大泉村入选省级乡村旅游重点村名录；全区接待游客数、旅游收入分别增长11%、10.5%。</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sz w:val="32"/>
          <w:szCs w:val="32"/>
        </w:rPr>
        <w:t>2.</w:t>
      </w:r>
      <w:r>
        <w:rPr>
          <w:rFonts w:ascii="Times New Roman" w:hAnsi="Times New Roman" w:eastAsia="方正仿宋简体" w:cs="Times New Roman"/>
          <w:b/>
          <w:bCs/>
          <w:sz w:val="32"/>
          <w:szCs w:val="40"/>
        </w:rPr>
        <w:t>综合改革有序有力，新旧动能加速转换</w:t>
      </w:r>
      <w:r>
        <w:rPr>
          <w:rFonts w:ascii="Times New Roman" w:hAnsi="Times New Roman" w:eastAsia="方正仿宋简体" w:cs="Times New Roman"/>
          <w:b/>
          <w:bCs/>
          <w:sz w:val="32"/>
          <w:szCs w:val="32"/>
        </w:rPr>
        <w:t>。</w:t>
      </w:r>
      <w:r>
        <w:rPr>
          <w:rFonts w:ascii="Times New Roman" w:hAnsi="Times New Roman" w:eastAsia="方正楷体简体" w:cs="Times New Roman"/>
          <w:sz w:val="32"/>
          <w:szCs w:val="32"/>
        </w:rPr>
        <w:t>营商环境持续改善。</w:t>
      </w:r>
      <w:r>
        <w:rPr>
          <w:rFonts w:ascii="Times New Roman" w:hAnsi="Times New Roman" w:eastAsia="方正仿宋简体" w:cs="Times New Roman"/>
          <w:sz w:val="32"/>
          <w:szCs w:val="32"/>
        </w:rPr>
        <w:t>细化落实省市营商环境政策，出台区级实施意见，发布营商环境四批创新场景及项目建设专题应用场景45个，“全省第一单”“一照多址”等多个案例被新华日报、南京日报等主流媒体联动宣</w:t>
      </w:r>
      <w:r>
        <w:rPr>
          <w:rFonts w:ascii="Times New Roman" w:hAnsi="Times New Roman" w:eastAsia="方正仿宋简体" w:cs="Times New Roman"/>
          <w:sz w:val="32"/>
          <w:szCs w:val="32"/>
          <w:shd w:val="clear" w:color="auto" w:fill="FFFFFF"/>
        </w:rPr>
        <w:t>传；帮助</w:t>
      </w:r>
      <w:r>
        <w:rPr>
          <w:rFonts w:ascii="Times New Roman" w:hAnsi="Times New Roman" w:eastAsia="方正仿宋简体" w:cs="Times New Roman"/>
          <w:sz w:val="32"/>
        </w:rPr>
        <w:t>企业在省综合金融服务平台</w:t>
      </w:r>
      <w:r>
        <w:rPr>
          <w:rFonts w:ascii="Times New Roman" w:hAnsi="Times New Roman" w:eastAsia="方正仿宋简体" w:cs="Times New Roman"/>
          <w:sz w:val="32"/>
          <w:szCs w:val="32"/>
          <w:shd w:val="clear" w:color="auto" w:fill="FFFFFF"/>
        </w:rPr>
        <w:t>获得贷款21亿元，办理民营企业转贷</w:t>
      </w:r>
      <w:r>
        <w:rPr>
          <w:rFonts w:ascii="Times New Roman" w:hAnsi="Times New Roman" w:eastAsia="方正仿宋简体" w:cs="Times New Roman"/>
          <w:sz w:val="32"/>
        </w:rPr>
        <w:t>基金</w:t>
      </w:r>
      <w:r>
        <w:rPr>
          <w:rFonts w:ascii="Times New Roman" w:hAnsi="Times New Roman" w:eastAsia="方正仿宋简体" w:cs="Times New Roman"/>
          <w:sz w:val="32"/>
          <w:szCs w:val="32"/>
          <w:shd w:val="clear" w:color="auto" w:fill="FFFFFF"/>
        </w:rPr>
        <w:t>17亿元</w:t>
      </w:r>
      <w:r>
        <w:rPr>
          <w:rFonts w:ascii="Times New Roman" w:hAnsi="Times New Roman" w:eastAsia="方正仿宋简体" w:cs="Times New Roman"/>
          <w:sz w:val="32"/>
          <w:szCs w:val="32"/>
        </w:rPr>
        <w:t>；</w:t>
      </w:r>
      <w:r>
        <w:rPr>
          <w:rFonts w:ascii="Times New Roman" w:hAnsi="Times New Roman" w:eastAsia="方正仿宋简体" w:cs="Times New Roman"/>
          <w:kern w:val="0"/>
          <w:sz w:val="32"/>
          <w:szCs w:val="32"/>
          <w:lang w:bidi="ar"/>
        </w:rPr>
        <w:t>“</w:t>
      </w:r>
      <w:r>
        <w:rPr>
          <w:rFonts w:ascii="Times New Roman" w:hAnsi="Times New Roman" w:eastAsia="方正仿宋简体" w:cs="Times New Roman"/>
          <w:sz w:val="32"/>
          <w:szCs w:val="32"/>
        </w:rPr>
        <w:t>订单融资</w:t>
      </w:r>
      <w:r>
        <w:rPr>
          <w:rFonts w:ascii="Times New Roman" w:hAnsi="Times New Roman" w:eastAsia="方正仿宋简体" w:cs="Times New Roman"/>
          <w:kern w:val="0"/>
          <w:sz w:val="32"/>
          <w:szCs w:val="32"/>
          <w:lang w:bidi="ar"/>
        </w:rPr>
        <w:t>”</w:t>
      </w:r>
      <w:r>
        <w:rPr>
          <w:rFonts w:ascii="Times New Roman" w:hAnsi="Times New Roman" w:eastAsia="方正仿宋简体" w:cs="Times New Roman"/>
          <w:sz w:val="32"/>
          <w:szCs w:val="32"/>
        </w:rPr>
        <w:t>为50家中小企业贷款超1.8亿元</w:t>
      </w:r>
      <w:r>
        <w:rPr>
          <w:rFonts w:ascii="Times New Roman" w:hAnsi="Times New Roman" w:eastAsia="方正仿宋简体" w:cs="Times New Roman"/>
          <w:sz w:val="32"/>
          <w:szCs w:val="32"/>
          <w:shd w:val="clear" w:color="auto" w:fill="FFFFFF"/>
        </w:rPr>
        <w:t>；“宁企通”平台新增政策事项40个，“免申即享”兑现资金873.5万元；做强“合心意”品牌，开发数字化便民利企服务场景15个，在全市率先打通“水电气讯”就近联办链条；</w:t>
      </w:r>
      <w:r>
        <w:rPr>
          <w:rFonts w:ascii="Times New Roman" w:hAnsi="Times New Roman" w:eastAsia="方正仿宋简体" w:cs="Times New Roman"/>
          <w:sz w:val="32"/>
          <w:szCs w:val="32"/>
        </w:rPr>
        <w:t>指导160余家一般失信主体完成信用修复，帮助3家企业退出“双屡”严重违法失信治理名单；推行以志愿服务代替行政处罚，缓解商户生存压力；发出全省首张载有许可经营项目的“一照多址”营业执照；在全省率先探索开展个体工商户强制退出试点工作；推进省级“个转企”试点，优化行政许可“清单管理”，试点“容缺受理”事项408项，105个事项实现“跨区域通办”，新发展企业、个体工商户超1.3万户。</w:t>
      </w:r>
      <w:r>
        <w:rPr>
          <w:rFonts w:ascii="Times New Roman" w:hAnsi="Times New Roman" w:eastAsia="方正楷体简体" w:cs="Times New Roman"/>
          <w:sz w:val="32"/>
          <w:szCs w:val="32"/>
        </w:rPr>
        <w:t>综合改革全面深化。</w:t>
      </w:r>
      <w:r>
        <w:rPr>
          <w:rFonts w:ascii="Times New Roman" w:hAnsi="Times New Roman" w:eastAsia="方正仿宋简体" w:cs="Times New Roman"/>
          <w:sz w:val="32"/>
          <w:szCs w:val="32"/>
        </w:rPr>
        <w:t>出台深化招商引资体制机制改革方案，加快构建“1+5+3+3+N”招商体系，签约项目投资总额620亿元、实际投资总额132亿元，国轩全球供应链配套总部基地等150个亿元以上项目签约，均完成市定目标；推动竹镇经济发达镇改革，不断激发镇域发展内生动力；深入推进“区管校聘”和“适岗聘用”改革，完善教师流动管理制度，交流名优骨干教师74人，占比达42.3%；创新教育联盟管理，促进8个联盟学校优质资源共建共享；区学前教育课程改革经验被《中国教育报》头版头条报道，“幼儿园课程游戏化”项目推进经验被省教育厅选拔推广；推进医联体、区域医共体建设，</w:t>
      </w:r>
      <w:r>
        <w:rPr>
          <w:rFonts w:ascii="Times New Roman" w:hAnsi="Times New Roman" w:eastAsia="方正仿宋简体" w:cs="Times New Roman"/>
          <w:kern w:val="21"/>
          <w:sz w:val="32"/>
          <w:szCs w:val="32"/>
        </w:rPr>
        <w:t>新设立基层专家工作室4个、联合病房9个；</w:t>
      </w:r>
      <w:r>
        <w:rPr>
          <w:rFonts w:ascii="Times New Roman" w:hAnsi="Times New Roman" w:eastAsia="方正仿宋简体" w:cs="Times New Roman"/>
          <w:sz w:val="32"/>
          <w:szCs w:val="32"/>
        </w:rPr>
        <w:t>竹镇创成“15分钟医保服务圈”省级示范点；</w:t>
      </w:r>
      <w:r>
        <w:rPr>
          <w:rFonts w:ascii="Times New Roman" w:hAnsi="Times New Roman" w:eastAsia="方正仿宋简体" w:cs="Times New Roman"/>
          <w:kern w:val="21"/>
          <w:sz w:val="32"/>
          <w:szCs w:val="32"/>
        </w:rPr>
        <w:t>“智慧共享中药房”获评市首届深化医改优秀案例；21家医疗机构纳入DRG参改范围，次均住院费用同比下降超过8%。</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sz w:val="32"/>
          <w:szCs w:val="32"/>
        </w:rPr>
        <w:t>3.城乡统筹加快发展，宜居环境显著改善。</w:t>
      </w:r>
      <w:r>
        <w:rPr>
          <w:rFonts w:ascii="Times New Roman" w:hAnsi="Times New Roman" w:eastAsia="方正楷体简体" w:cs="Times New Roman"/>
          <w:sz w:val="32"/>
          <w:szCs w:val="32"/>
        </w:rPr>
        <w:t>城市功能更加完善。</w:t>
      </w:r>
      <w:r>
        <w:rPr>
          <w:rFonts w:ascii="Times New Roman" w:hAnsi="Times New Roman" w:eastAsia="方正仿宋简体" w:cs="Times New Roman"/>
          <w:sz w:val="32"/>
          <w:szCs w:val="32"/>
        </w:rPr>
        <w:t>高品质推进新城建设，</w:t>
      </w:r>
      <w:r>
        <w:rPr>
          <w:rFonts w:ascii="Times New Roman" w:hAnsi="Times New Roman" w:eastAsia="方正仿宋简体" w:cs="Times New Roman"/>
          <w:color w:val="000000"/>
          <w:kern w:val="0"/>
          <w:sz w:val="31"/>
          <w:szCs w:val="31"/>
          <w:lang w:bidi="ar"/>
        </w:rPr>
        <w:t>建成</w:t>
      </w:r>
      <w:r>
        <w:rPr>
          <w:rFonts w:ascii="Times New Roman" w:hAnsi="Times New Roman" w:eastAsia="方正仿宋简体" w:cs="Times New Roman"/>
          <w:sz w:val="32"/>
          <w:szCs w:val="32"/>
        </w:rPr>
        <w:t>龙袍新城</w:t>
      </w:r>
      <w:r>
        <w:rPr>
          <w:rFonts w:ascii="Times New Roman" w:hAnsi="Times New Roman" w:eastAsia="宋体" w:cs="Times New Roman"/>
          <w:color w:val="000000"/>
          <w:kern w:val="0"/>
          <w:sz w:val="31"/>
          <w:szCs w:val="31"/>
          <w:lang w:bidi="ar"/>
        </w:rPr>
        <w:t>5</w:t>
      </w:r>
      <w:r>
        <w:rPr>
          <w:rFonts w:ascii="Times New Roman" w:hAnsi="Times New Roman" w:eastAsia="方正仿宋简体" w:cs="Times New Roman"/>
          <w:color w:val="000000"/>
          <w:kern w:val="0"/>
          <w:sz w:val="31"/>
          <w:szCs w:val="31"/>
          <w:lang w:bidi="ar"/>
        </w:rPr>
        <w:t>条主干道路及</w:t>
      </w:r>
      <w:r>
        <w:rPr>
          <w:rFonts w:ascii="Times New Roman" w:hAnsi="Times New Roman" w:eastAsia="方正仿宋简体" w:cs="Times New Roman"/>
          <w:kern w:val="0"/>
          <w:sz w:val="32"/>
          <w:szCs w:val="32"/>
        </w:rPr>
        <w:t>安置房一期、污水处理厂一期等设施；</w:t>
      </w:r>
      <w:r>
        <w:rPr>
          <w:rFonts w:ascii="Times New Roman" w:hAnsi="Times New Roman" w:eastAsia="方正仿宋简体" w:cs="Times New Roman"/>
          <w:sz w:val="32"/>
          <w:szCs w:val="32"/>
        </w:rPr>
        <w:t>完成六合新城留右特色街巷初步设计，</w:t>
      </w:r>
      <w:r>
        <w:rPr>
          <w:rFonts w:ascii="Times New Roman" w:hAnsi="Times New Roman" w:eastAsia="方正仿宋简体" w:cs="Times New Roman"/>
          <w:kern w:val="0"/>
          <w:sz w:val="32"/>
          <w:szCs w:val="32"/>
        </w:rPr>
        <w:t>茉湖广场</w:t>
      </w:r>
      <w:r>
        <w:rPr>
          <w:rFonts w:ascii="Times New Roman" w:hAnsi="Times New Roman" w:eastAsia="方正仿宋简体" w:cs="Times New Roman"/>
          <w:sz w:val="32"/>
          <w:szCs w:val="32"/>
        </w:rPr>
        <w:t>竣工验收；精细化整治提升14条背街小巷、打造3条特色街巷，新增共享停车泊位1235个，完成凤凰山公园设施改造，香塘路等“口袋公园”建成开放；新改建公厕3座；建设燃气中低压管网39.65公里、区域调压柜12座；北沿江高铁、宁淮城际铁路、宁滁高速开工建设，宁盐高速完成用地审批即将全面开工；235国道、247省道等工程前期研究有序推进；328国道、501省道和422省道改扩建工程加快建设；启动六合西站片区规划研究；完成雄州西路三期、永宁路出新改造工作，体育路建成通车；绕越高速、龙袍新城互通前期工作有序推进。</w:t>
      </w:r>
      <w:r>
        <w:rPr>
          <w:rFonts w:ascii="Times New Roman" w:hAnsi="Times New Roman" w:eastAsia="方正楷体简体" w:cs="Times New Roman"/>
          <w:sz w:val="32"/>
          <w:szCs w:val="32"/>
        </w:rPr>
        <w:t>美丽乡村更加宜居。</w:t>
      </w:r>
      <w:r>
        <w:rPr>
          <w:rFonts w:ascii="Times New Roman" w:hAnsi="Times New Roman" w:eastAsia="方正仿宋简体" w:cs="Times New Roman"/>
          <w:sz w:val="32"/>
          <w:szCs w:val="32"/>
        </w:rPr>
        <w:t>深入推进全国农业社会化服务创新试点区建设；新增省级特色田园乡村2个、市级美丽乡村宜居村140个，获评全国宜居宜业和美乡村创建示范基地，冶山街道和龙池朱营等7个村居获评省生态宜居美丽示范街道（村）；新增“一事一议”财政奖补项目294个；新禹河灌区入选全省首个全国深化农业水价综合改革推进现代化灌区建设试点；农村污水处理设施全面进入正式运营阶段；充分发挥“1991”三级农村电商服务体系作用，实现销售额13.7亿元；改善老旧农房209户、改造农村低收入群体危房69户；建设村（社区）医保公共服务点105个；完成农路新改建100公里、生命安全防护工程20公里、农村公路危桥改造10座；创成省级农村物流达标县；入选全国城乡交通运输一体化示范县创建名单。</w:t>
      </w:r>
    </w:p>
    <w:p>
      <w:pPr>
        <w:spacing w:line="560" w:lineRule="exact"/>
        <w:ind w:firstLine="643" w:firstLineChars="200"/>
        <w:rPr>
          <w:rFonts w:ascii="Times New Roman" w:hAnsi="Times New Roman" w:eastAsia="方正楷体简体" w:cs="Times New Roman"/>
          <w:sz w:val="32"/>
          <w:szCs w:val="32"/>
        </w:rPr>
      </w:pPr>
      <w:r>
        <w:rPr>
          <w:rFonts w:ascii="Times New Roman" w:hAnsi="Times New Roman" w:eastAsia="方正仿宋简体" w:cs="Times New Roman"/>
          <w:b/>
          <w:bCs/>
          <w:sz w:val="32"/>
          <w:szCs w:val="32"/>
        </w:rPr>
        <w:t>4.生态建设力度加大，绿色低碳彰显底色。</w:t>
      </w:r>
      <w:r>
        <w:rPr>
          <w:rFonts w:ascii="Times New Roman" w:hAnsi="Times New Roman" w:eastAsia="方正楷体简体" w:cs="Times New Roman"/>
          <w:sz w:val="32"/>
          <w:szCs w:val="32"/>
        </w:rPr>
        <w:t>生态价值加速转化。</w:t>
      </w:r>
      <w:r>
        <w:rPr>
          <w:rFonts w:ascii="Times New Roman" w:hAnsi="Times New Roman" w:eastAsia="方正仿宋简体" w:cs="Times New Roman"/>
          <w:sz w:val="32"/>
          <w:szCs w:val="32"/>
        </w:rPr>
        <w:t>金牛湖片区EOD试点（</w:t>
      </w:r>
      <w:r>
        <w:rPr>
          <w:rFonts w:ascii="Times New Roman" w:hAnsi="Times New Roman" w:eastAsia="方正楷体简体" w:cs="Times New Roman"/>
          <w:sz w:val="32"/>
          <w:szCs w:val="32"/>
        </w:rPr>
        <w:t>生态环境导向开发模式</w:t>
      </w:r>
      <w:r>
        <w:rPr>
          <w:rFonts w:ascii="Times New Roman" w:hAnsi="Times New Roman" w:eastAsia="方正仿宋简体" w:cs="Times New Roman"/>
          <w:sz w:val="32"/>
          <w:szCs w:val="32"/>
        </w:rPr>
        <w:t>）项目获国家开发银行政策性贷款授信；循环经济产业园控规通过市政府批准；程桥100MW渔光互补项目开工建设，新增并网分布式光伏装机容量76.2兆瓦，整区屋顶分布式光伏开发示范项目入选市2023年“十佳”低碳应用场景；龙袍圩、新集灌区获评国家节水型灌区；河王坝小流域获评“国家水土保持示范工程”；八百河入选省级幸福河道（段）建设示范工程；</w:t>
      </w:r>
      <w:r>
        <w:rPr>
          <w:rFonts w:ascii="Times New Roman" w:hAnsi="Times New Roman" w:eastAsia="方正仿宋简体" w:cs="Times New Roman"/>
          <w:bCs/>
          <w:color w:val="000000"/>
          <w:sz w:val="32"/>
          <w:szCs w:val="32"/>
        </w:rPr>
        <w:t>完成市级生态河道建设45.22公里</w:t>
      </w:r>
      <w:r>
        <w:rPr>
          <w:rFonts w:ascii="Times New Roman" w:hAnsi="Times New Roman" w:eastAsia="方正仿宋简体" w:cs="Times New Roman"/>
          <w:sz w:val="32"/>
          <w:szCs w:val="32"/>
        </w:rPr>
        <w:t>，成功创建</w:t>
      </w:r>
      <w:r>
        <w:rPr>
          <w:rFonts w:ascii="Times New Roman" w:hAnsi="Times New Roman" w:eastAsia="方正仿宋简体" w:cs="Times New Roman"/>
          <w:bCs/>
          <w:color w:val="000000"/>
          <w:sz w:val="32"/>
          <w:szCs w:val="32"/>
        </w:rPr>
        <w:t>“幸福河湖”</w:t>
      </w:r>
      <w:r>
        <w:rPr>
          <w:rFonts w:ascii="Times New Roman" w:hAnsi="Times New Roman" w:eastAsia="方正仿宋简体" w:cs="Times New Roman"/>
          <w:sz w:val="32"/>
          <w:szCs w:val="32"/>
        </w:rPr>
        <w:t>20</w:t>
      </w:r>
      <w:r>
        <w:rPr>
          <w:rFonts w:ascii="Times New Roman" w:hAnsi="Times New Roman" w:eastAsia="方正仿宋简体" w:cs="Times New Roman"/>
          <w:bCs/>
          <w:color w:val="000000"/>
          <w:sz w:val="32"/>
          <w:szCs w:val="32"/>
        </w:rPr>
        <w:t>条；</w:t>
      </w:r>
      <w:r>
        <w:rPr>
          <w:rFonts w:ascii="Times New Roman" w:hAnsi="Times New Roman" w:eastAsia="方正仿宋简体" w:cs="Times New Roman"/>
          <w:sz w:val="32"/>
          <w:szCs w:val="32"/>
        </w:rPr>
        <w:t>创成国家生态文明建设示范区</w:t>
      </w:r>
      <w:r>
        <w:rPr>
          <w:rFonts w:ascii="Times New Roman" w:hAnsi="Times New Roman" w:eastAsia="方正仿宋简体" w:cs="Times New Roman"/>
          <w:sz w:val="32"/>
          <w:szCs w:val="40"/>
        </w:rPr>
        <w:t>。</w:t>
      </w:r>
      <w:r>
        <w:rPr>
          <w:rFonts w:ascii="Times New Roman" w:hAnsi="Times New Roman" w:eastAsia="方正楷体简体" w:cs="Times New Roman"/>
          <w:sz w:val="32"/>
          <w:szCs w:val="32"/>
        </w:rPr>
        <w:t>环境治理精准有效。</w:t>
      </w:r>
      <w:r>
        <w:rPr>
          <w:rFonts w:ascii="Times New Roman" w:hAnsi="Times New Roman" w:eastAsia="方正仿宋简体" w:cs="Times New Roman"/>
          <w:sz w:val="32"/>
          <w:szCs w:val="32"/>
        </w:rPr>
        <w:t>第二轮中央环保督察16件环境信访事项全部通过市级销号验收、4个涉水问题全面整改到位；完成128个大气治理项目，国</w:t>
      </w:r>
      <w:r>
        <w:rPr>
          <w:rFonts w:ascii="Times New Roman" w:hAnsi="Times New Roman" w:eastAsia="方正仿宋简体" w:cs="Times New Roman"/>
          <w:kern w:val="0"/>
          <w:sz w:val="32"/>
          <w:szCs w:val="32"/>
        </w:rPr>
        <w:t>Ⅲ</w:t>
      </w:r>
      <w:r>
        <w:rPr>
          <w:rFonts w:ascii="Times New Roman" w:hAnsi="Times New Roman" w:eastAsia="方正仿宋简体" w:cs="Times New Roman"/>
          <w:sz w:val="32"/>
          <w:szCs w:val="32"/>
        </w:rPr>
        <w:t>及以下柴油车淘汰完成率达159%；累计整治长江入河排污口88个，5个国省考断面水质稳定达标；完成虹光化工污染地块治理修复工程、25块高风险遗留地块土壤污染状况详查及风险管控；雄州污水处理二厂二期工程建设有序推进，完成凤凰路等污水管网修复工程，极乐泵站污水管网南延工程主体完工；沿江5公里农药、化肥使用量持续削减；完成东部采石厂、候桥砂矿等3962亩废弃矿山生态修复。</w:t>
      </w:r>
      <w:r>
        <w:rPr>
          <w:rFonts w:ascii="Times New Roman" w:hAnsi="Times New Roman" w:eastAsia="方正楷体简体" w:cs="Times New Roman"/>
          <w:sz w:val="32"/>
          <w:szCs w:val="32"/>
        </w:rPr>
        <w:t>低碳生活渐行渐近。</w:t>
      </w:r>
      <w:r>
        <w:rPr>
          <w:rFonts w:ascii="Times New Roman" w:hAnsi="Times New Roman" w:eastAsia="方正仿宋简体" w:cs="Times New Roman"/>
          <w:sz w:val="32"/>
          <w:szCs w:val="32"/>
        </w:rPr>
        <w:t>完成新增造林201亩，修复退化林3117亩，森林抚育6800亩；新增省级垃圾分类达标小区11个，生活垃圾无害化处理率100%；在全市率先开展垃圾分类收集点“四同步”建设，垃圾分类工作位列全市郊区组第一名；全市首创线上可回收物+大件垃圾一键预约小程序“洁小宝”，居民垃圾分类便利性进一步提升；新增绿地60公顷，建成区绿地率达40.4%；装配式建筑占新开工建筑面积达50%，新增绿色建筑157.43万平方米，建筑垃圾资源化利用率达97%。</w:t>
      </w:r>
    </w:p>
    <w:p>
      <w:pPr>
        <w:overflowPunct w:val="0"/>
        <w:topLinePunct/>
        <w:snapToGrid w:val="0"/>
        <w:spacing w:line="560" w:lineRule="exact"/>
        <w:ind w:firstLine="643" w:firstLineChars="200"/>
        <w:textAlignment w:val="baseline"/>
        <w:rPr>
          <w:rFonts w:ascii="Times New Roman" w:hAnsi="Times New Roman" w:eastAsia="方正楷体简体" w:cs="Times New Roman"/>
          <w:color w:val="000000" w:themeColor="text1"/>
          <w:sz w:val="32"/>
          <w:szCs w:val="32"/>
          <w14:textFill>
            <w14:solidFill>
              <w14:schemeClr w14:val="tx1"/>
            </w14:solidFill>
          </w14:textFill>
        </w:rPr>
      </w:pPr>
      <w:r>
        <w:rPr>
          <w:rFonts w:ascii="Times New Roman" w:hAnsi="Times New Roman" w:eastAsia="方正仿宋简体" w:cs="Times New Roman"/>
          <w:b/>
          <w:bCs/>
          <w:sz w:val="32"/>
          <w:szCs w:val="32"/>
        </w:rPr>
        <w:t>5.社会事业稳步发展，人民生活日益改善。</w:t>
      </w:r>
      <w:r>
        <w:rPr>
          <w:rFonts w:ascii="Times New Roman" w:hAnsi="Times New Roman" w:eastAsia="方正楷体简体" w:cs="Times New Roman"/>
          <w:sz w:val="32"/>
          <w:szCs w:val="32"/>
        </w:rPr>
        <w:t>公共服务提质扩面。</w:t>
      </w:r>
      <w:r>
        <w:rPr>
          <w:rFonts w:ascii="Times New Roman" w:hAnsi="Times New Roman" w:eastAsia="方正仿宋简体" w:cs="Times New Roman"/>
          <w:sz w:val="32"/>
          <w:szCs w:val="32"/>
        </w:rPr>
        <w:t>市第一医院医疗集团六合医院揭牌，人民医院新建病房楼项目主体完工；</w:t>
      </w:r>
      <w:r>
        <w:rPr>
          <w:rFonts w:ascii="Times New Roman" w:hAnsi="Times New Roman" w:eastAsia="方正仿宋简体" w:cs="Times New Roman"/>
          <w:kern w:val="21"/>
          <w:sz w:val="32"/>
          <w:szCs w:val="32"/>
        </w:rPr>
        <w:t>重点人群家庭医生签约率达80.2%；</w:t>
      </w:r>
      <w:r>
        <w:rPr>
          <w:rFonts w:ascii="Times New Roman" w:hAnsi="Times New Roman" w:eastAsia="方正仿宋简体" w:cs="Times New Roman"/>
          <w:sz w:val="32"/>
          <w:szCs w:val="32"/>
        </w:rPr>
        <w:t>南师大实验学校主体结构封顶，</w:t>
      </w:r>
      <w:r>
        <w:rPr>
          <w:rStyle w:val="6"/>
          <w:rFonts w:ascii="Times New Roman" w:hAnsi="Times New Roman" w:eastAsia="方正仿宋简体" w:cs="Times New Roman"/>
          <w:b w:val="0"/>
          <w:kern w:val="21"/>
          <w:sz w:val="32"/>
          <w:szCs w:val="32"/>
        </w:rPr>
        <w:t>完成六合高级中学教学综合体、程桥高中体育馆、中专校教学楼及5所幼儿园建设，旭光路初中、励志高中投用，增加学位5140个；新增普惠性民办幼儿园2家，建成省、市优质幼儿园各3家，优质园就读幼儿比率达94.8%；创成江苏省科普示范区。</w:t>
      </w:r>
      <w:r>
        <w:rPr>
          <w:rFonts w:ascii="Times New Roman" w:hAnsi="Times New Roman" w:eastAsia="方正楷体简体" w:cs="Times New Roman"/>
          <w:sz w:val="32"/>
          <w:szCs w:val="32"/>
        </w:rPr>
        <w:t>民生保障日益健全。</w:t>
      </w:r>
      <w:r>
        <w:rPr>
          <w:rStyle w:val="6"/>
          <w:rFonts w:ascii="Times New Roman" w:hAnsi="Times New Roman" w:eastAsia="方正仿宋简体" w:cs="Times New Roman"/>
          <w:b w:val="0"/>
          <w:kern w:val="21"/>
          <w:sz w:val="32"/>
          <w:szCs w:val="32"/>
        </w:rPr>
        <w:t>完成8.7万户液化气居民用户“报警铃”免费安装、为1.3万户更换“安心管”；经</w:t>
      </w:r>
      <w:r>
        <w:rPr>
          <w:rFonts w:ascii="Times New Roman" w:hAnsi="Times New Roman" w:eastAsia="方正仿宋简体" w:cs="Times New Roman"/>
          <w:bCs/>
          <w:sz w:val="32"/>
          <w:szCs w:val="32"/>
        </w:rPr>
        <w:t>人</w:t>
      </w:r>
      <w:r>
        <w:rPr>
          <w:rFonts w:ascii="Times New Roman" w:hAnsi="Times New Roman" w:eastAsia="方正仿宋简体" w:cs="Times New Roman"/>
          <w:sz w:val="32"/>
          <w:szCs w:val="32"/>
        </w:rPr>
        <w:t>大代表票决的九大类37项民生实事有序推进、成效良好；新增城镇就业7600人，举办各类招聘会200多场，提供就业职位6.03万个次，支持自主创业952人，发放就业补贴、失业金超2亿元；推进欠薪治理，为职工追发劳动报酬703万元；落实特困人员供养5413万元，城乡居民最低生活保障4554万元，困难群众帮扶实现动态全覆盖；推动家庭适老化改造454户，雄州观滁被评为省老年友好型社区；</w:t>
      </w:r>
      <w:r>
        <w:rPr>
          <w:rFonts w:ascii="Times New Roman" w:hAnsi="Times New Roman" w:eastAsia="方正仿宋简体" w:cs="Times New Roman"/>
          <w:kern w:val="21"/>
          <w:sz w:val="32"/>
          <w:szCs w:val="32"/>
        </w:rPr>
        <w:t>长山、新篁、竹程等3所幼儿园开展农村社区托育点建设试点</w:t>
      </w:r>
      <w:r>
        <w:rPr>
          <w:rFonts w:ascii="Times New Roman" w:hAnsi="Times New Roman" w:eastAsia="方正仿宋简体" w:cs="Times New Roman"/>
          <w:sz w:val="32"/>
          <w:szCs w:val="32"/>
        </w:rPr>
        <w:t>；冶山退役军人服务站入选全国退役军人服务保障工作典型案例</w:t>
      </w:r>
      <w:r>
        <w:rPr>
          <w:rFonts w:ascii="Times New Roman" w:hAnsi="Times New Roman" w:eastAsia="方正仿宋简体" w:cs="Times New Roman"/>
          <w:kern w:val="21"/>
          <w:sz w:val="32"/>
          <w:szCs w:val="32"/>
        </w:rPr>
        <w:t>；</w:t>
      </w:r>
      <w:r>
        <w:rPr>
          <w:rFonts w:ascii="Times New Roman" w:hAnsi="Times New Roman" w:eastAsia="方正仿宋简体" w:cs="Times New Roman"/>
          <w:sz w:val="32"/>
          <w:szCs w:val="32"/>
        </w:rPr>
        <w:t>扬平公司西侧地块、龙华路周边1-3号地块安置房建成；棚户区改造工作获省政府督查激励。</w:t>
      </w:r>
      <w:r>
        <w:rPr>
          <w:rFonts w:ascii="Times New Roman" w:hAnsi="Times New Roman" w:eastAsia="方正楷体简体" w:cs="Times New Roman"/>
          <w:sz w:val="32"/>
          <w:szCs w:val="32"/>
        </w:rPr>
        <w:t>社会大局和谐稳定。</w:t>
      </w:r>
      <w:r>
        <w:rPr>
          <w:rFonts w:ascii="Times New Roman" w:hAnsi="Times New Roman" w:eastAsia="方正仿宋简体" w:cs="Times New Roman"/>
          <w:sz w:val="32"/>
          <w:szCs w:val="32"/>
        </w:rPr>
        <w:t>新</w:t>
      </w:r>
      <w:r>
        <w:rPr>
          <w:rFonts w:ascii="Times New Roman" w:hAnsi="Times New Roman" w:eastAsia="方正仿宋简体" w:cs="Times New Roman"/>
          <w:sz w:val="32"/>
          <w:szCs w:val="32"/>
          <w:lang w:bidi="ar"/>
        </w:rPr>
        <w:t>增</w:t>
      </w:r>
      <w:r>
        <w:rPr>
          <w:rFonts w:ascii="Times New Roman" w:hAnsi="Times New Roman" w:eastAsia="方正仿宋简体" w:cs="Times New Roman"/>
          <w:sz w:val="32"/>
          <w:szCs w:val="32"/>
        </w:rPr>
        <w:t>打造“茉莉花调解工作室”17个，“1+9”矛盾纠纷多元化解体系获评全国创新社会治理十佳案例；深入推进平安六合建设，群众安全感满意度、法治建设满意度、网格化知晓率、常态化扫黑除恶工作成效满意率、矛盾纠纷调解率均居全市前列；“国治件”全部办结，省交办主要领导包案事项化解率100%，获评2022年度全国信访示范县；深入开展“信用+基层治理”省级试点，</w:t>
      </w:r>
      <w:r>
        <w:rPr>
          <w:rFonts w:ascii="Times New Roman" w:hAnsi="Times New Roman" w:eastAsia="方正仿宋简体" w:cs="Times New Roman"/>
          <w:sz w:val="32"/>
        </w:rPr>
        <w:t>创新“茉莉花”信用积分体系；首创夜市食品安全工作站，食品安全协同共治入选全国“推进食品安全社会共治”十佳案例；提升</w:t>
      </w:r>
      <w:r>
        <w:rPr>
          <w:rFonts w:ascii="Times New Roman" w:hAnsi="Times New Roman" w:eastAsia="方正仿宋简体" w:cs="Times New Roman"/>
          <w:color w:val="000000"/>
          <w:kern w:val="0"/>
          <w:sz w:val="32"/>
          <w:szCs w:val="32"/>
          <w:lang w:bidi="ar"/>
        </w:rPr>
        <w:t>突发事件应对能力，</w:t>
      </w:r>
      <w:r>
        <w:rPr>
          <w:rFonts w:ascii="Times New Roman" w:hAnsi="Times New Roman" w:eastAsia="方正仿宋简体" w:cs="Times New Roman"/>
          <w:sz w:val="32"/>
          <w:szCs w:val="32"/>
        </w:rPr>
        <w:t>开展重大事故隐患专项排查整治行动，排查整改各类隐患1.07万处。</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2023年</w:t>
      </w:r>
      <w:r>
        <w:rPr>
          <w:rFonts w:ascii="Times New Roman" w:hAnsi="Times New Roman" w:eastAsia="方正仿宋简体" w:cs="Times New Roman"/>
          <w:bCs/>
          <w:kern w:val="0"/>
          <w:sz w:val="32"/>
          <w:szCs w:val="32"/>
        </w:rPr>
        <w:t>全区经济社会发展各方面取得的成绩来之不易，在肯定成绩的同时，我们也要清醒地认识到，高质量发展道路上仍面临不少困难与挑战，主要是：制造业支柱产业仍处于培育阶段，产业科技创新水平还有待提升；民间投资、外商投资等大项目支撑还不够有力，招引难、落地慢问题仍然存在；</w:t>
      </w:r>
      <w:r>
        <w:rPr>
          <w:rFonts w:ascii="Times New Roman" w:hAnsi="Times New Roman" w:eastAsia="方正仿宋简体" w:cs="Times New Roman"/>
          <w:snapToGrid w:val="0"/>
          <w:sz w:val="32"/>
          <w:szCs w:val="32"/>
        </w:rPr>
        <w:t>城乡建设还有较大提升空间</w:t>
      </w:r>
      <w:r>
        <w:rPr>
          <w:rFonts w:ascii="Times New Roman" w:hAnsi="Times New Roman" w:eastAsia="方正仿宋简体" w:cs="Times New Roman"/>
          <w:bCs/>
          <w:kern w:val="0"/>
          <w:sz w:val="32"/>
          <w:szCs w:val="32"/>
        </w:rPr>
        <w:t>，民生保障水平与群众期望还有差距</w:t>
      </w:r>
      <w:r>
        <w:rPr>
          <w:rFonts w:ascii="Times New Roman" w:hAnsi="Times New Roman" w:eastAsia="方正仿宋简体" w:cs="Times New Roman"/>
          <w:sz w:val="32"/>
          <w:szCs w:val="32"/>
        </w:rPr>
        <w:t>。对于这些问题，我们将高度重视，以更务实的态度、更有力的措施，认真加以解决。</w:t>
      </w:r>
    </w:p>
    <w:p>
      <w:pPr>
        <w:spacing w:before="156" w:beforeLines="50" w:after="156" w:afterLines="50" w:line="560" w:lineRule="exact"/>
        <w:jc w:val="center"/>
        <w:rPr>
          <w:rFonts w:ascii="Times New Roman" w:hAnsi="Times New Roman" w:eastAsia="方正黑体简体" w:cs="Times New Roman"/>
          <w:sz w:val="32"/>
          <w:szCs w:val="32"/>
        </w:rPr>
      </w:pPr>
      <w:r>
        <w:rPr>
          <w:rFonts w:ascii="Times New Roman" w:hAnsi="Times New Roman" w:eastAsia="方正黑体简体" w:cs="Times New Roman"/>
          <w:sz w:val="32"/>
          <w:szCs w:val="32"/>
        </w:rPr>
        <w:t>2024年计划主要内容</w:t>
      </w:r>
    </w:p>
    <w:p>
      <w:pPr>
        <w:pStyle w:val="7"/>
        <w:adjustRightInd/>
        <w:spacing w:line="560" w:lineRule="exact"/>
        <w:ind w:firstLine="640" w:firstLineChars="200"/>
        <w:contextualSpacing/>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2024年是中华人民共和国成立75周年，是实现“十四五”规划目标任务的关键一年。全区国民经济和社会发展计划紧扣党的二十大、二十届二中全会、中央经济工作会议精神，主要依据省市高质量发展要求、区委区政府总体工作部署，以及“十四五”规划明确的目标任务，细化落实到年度计划中，坚持区总体目标不低于全市平均水平的原则进行设定。</w:t>
      </w:r>
    </w:p>
    <w:p>
      <w:pPr>
        <w:pStyle w:val="7"/>
        <w:adjustRightInd/>
        <w:spacing w:line="560" w:lineRule="exact"/>
        <w:ind w:firstLine="640" w:firstLineChars="200"/>
        <w:contextualSpacing/>
        <w:jc w:val="both"/>
        <w:rPr>
          <w:rFonts w:ascii="Times New Roman" w:hAnsi="Times New Roman" w:eastAsia="方正黑体简体" w:cs="Times New Roman"/>
          <w:color w:val="auto"/>
          <w:kern w:val="2"/>
          <w:sz w:val="32"/>
          <w:szCs w:val="32"/>
        </w:rPr>
      </w:pPr>
      <w:r>
        <w:rPr>
          <w:rFonts w:ascii="Times New Roman" w:hAnsi="Times New Roman" w:eastAsia="方正黑体简体" w:cs="Times New Roman"/>
          <w:color w:val="auto"/>
          <w:kern w:val="2"/>
          <w:sz w:val="32"/>
          <w:szCs w:val="32"/>
        </w:rPr>
        <w:t>一、总体思路</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坚持以习近平新时代中国特色社会主义思想为指导，全面贯彻党的二十大精神和习近平总书记对江苏工作重要讲话重要指示精神，按照中央和省市区委部署要求，聚焦经济建设这一中心工作和高质量发展这一首要任务，坚持稳中求进工作总基调，完整准确全面贯彻新发展理念，锚定“2442”整体发展布局，巩固和增强经济回升向好态势，推动产业强区、做强发展能级、保持安全稳定，以“当表率、做示范、走在前”的果敢担当，奋力推动“强富美高”新六合现代化建设取得新突破、迈上新台阶。</w:t>
      </w:r>
    </w:p>
    <w:p>
      <w:pPr>
        <w:pStyle w:val="7"/>
        <w:adjustRightInd/>
        <w:spacing w:line="560" w:lineRule="exact"/>
        <w:ind w:firstLine="640" w:firstLineChars="200"/>
        <w:contextualSpacing/>
        <w:jc w:val="both"/>
        <w:rPr>
          <w:rFonts w:ascii="Times New Roman" w:hAnsi="Times New Roman" w:eastAsia="方正黑体简体" w:cs="Times New Roman"/>
          <w:color w:val="auto"/>
          <w:kern w:val="2"/>
          <w:sz w:val="32"/>
          <w:szCs w:val="32"/>
        </w:rPr>
      </w:pPr>
      <w:r>
        <w:rPr>
          <w:rFonts w:ascii="Times New Roman" w:hAnsi="Times New Roman" w:eastAsia="方正黑体简体" w:cs="Times New Roman"/>
          <w:color w:val="auto"/>
          <w:kern w:val="2"/>
          <w:sz w:val="32"/>
          <w:szCs w:val="32"/>
        </w:rPr>
        <w:t>二、主要指标</w:t>
      </w:r>
    </w:p>
    <w:p>
      <w:pPr>
        <w:spacing w:line="56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1．</w:t>
      </w:r>
      <w:r>
        <w:rPr>
          <w:rFonts w:ascii="Times New Roman" w:hAnsi="Times New Roman" w:eastAsia="方正楷体简体" w:cs="Times New Roman"/>
          <w:sz w:val="32"/>
          <w:szCs w:val="32"/>
        </w:rPr>
        <w:t>经济发展</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——地区生产总值增长6%左右；</w:t>
      </w:r>
      <w:bookmarkStart w:id="0" w:name="_Hlk91787235"/>
      <w:bookmarkStart w:id="1" w:name="_Hlk91342247"/>
      <w:r>
        <w:rPr>
          <w:rFonts w:ascii="Times New Roman" w:hAnsi="Times New Roman" w:eastAsia="方正楷体简体" w:cs="Times New Roman"/>
          <w:sz w:val="32"/>
          <w:szCs w:val="32"/>
        </w:rPr>
        <w:t>（责任单位：区发改委）</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——全社会固定资产投资增长</w:t>
      </w:r>
      <w:bookmarkEnd w:id="0"/>
      <w:r>
        <w:rPr>
          <w:rFonts w:ascii="Times New Roman" w:hAnsi="Times New Roman" w:eastAsia="方正仿宋简体" w:cs="Times New Roman"/>
          <w:snapToGrid w:val="0"/>
          <w:sz w:val="32"/>
          <w:szCs w:val="32"/>
        </w:rPr>
        <w:t>6%</w:t>
      </w:r>
      <w:bookmarkEnd w:id="1"/>
      <w:r>
        <w:rPr>
          <w:rFonts w:ascii="Times New Roman" w:hAnsi="Times New Roman" w:eastAsia="方正仿宋简体" w:cs="Times New Roman"/>
          <w:snapToGrid w:val="0"/>
          <w:sz w:val="32"/>
          <w:szCs w:val="32"/>
        </w:rPr>
        <w:t>；</w:t>
      </w:r>
      <w:r>
        <w:rPr>
          <w:rFonts w:ascii="Times New Roman" w:hAnsi="Times New Roman" w:eastAsia="方正楷体简体" w:cs="Times New Roman"/>
          <w:sz w:val="32"/>
          <w:szCs w:val="32"/>
        </w:rPr>
        <w:t>（责任单位：区发改委）</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——社会消费品零售总额增长6%，外贸进出口总额增长3.5%，实际利用外资2.7亿美元；</w:t>
      </w:r>
      <w:r>
        <w:rPr>
          <w:rFonts w:ascii="Times New Roman" w:hAnsi="Times New Roman" w:eastAsia="方正楷体简体" w:cs="Times New Roman"/>
          <w:sz w:val="32"/>
          <w:szCs w:val="32"/>
        </w:rPr>
        <w:t>（责任单位：区商务局）</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napToGrid w:val="0"/>
          <w:sz w:val="32"/>
          <w:szCs w:val="32"/>
        </w:rPr>
        <w:t>——一般公共预算收入增长6%左右。</w:t>
      </w:r>
      <w:r>
        <w:rPr>
          <w:rFonts w:ascii="Times New Roman" w:hAnsi="Times New Roman" w:eastAsia="方正楷体简体" w:cs="Times New Roman"/>
          <w:sz w:val="32"/>
          <w:szCs w:val="32"/>
        </w:rPr>
        <w:t>（责任单位：区财政局）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2</w:t>
      </w:r>
      <w:r>
        <w:rPr>
          <w:rFonts w:ascii="Times New Roman" w:hAnsi="Times New Roman" w:eastAsia="方正楷体简体" w:cs="Times New Roman"/>
          <w:bCs/>
          <w:sz w:val="32"/>
          <w:szCs w:val="32"/>
        </w:rPr>
        <w:t>．</w:t>
      </w:r>
      <w:r>
        <w:rPr>
          <w:rFonts w:ascii="Times New Roman" w:hAnsi="Times New Roman" w:eastAsia="方正楷体简体" w:cs="Times New Roman"/>
          <w:sz w:val="32"/>
          <w:szCs w:val="32"/>
        </w:rPr>
        <w:t>产业强区</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——制造业增加值占地区生产总值比重达32%；</w:t>
      </w:r>
      <w:r>
        <w:rPr>
          <w:rFonts w:ascii="Times New Roman" w:hAnsi="Times New Roman" w:eastAsia="方正楷体简体" w:cs="Times New Roman"/>
          <w:sz w:val="32"/>
          <w:szCs w:val="32"/>
        </w:rPr>
        <w:t>（责任单位：区工信局）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——工业战略性新兴产业总产值占工业总产值比重达42%以上；</w:t>
      </w:r>
      <w:r>
        <w:rPr>
          <w:rFonts w:ascii="Times New Roman" w:hAnsi="Times New Roman" w:eastAsia="方正楷体简体" w:cs="Times New Roman"/>
          <w:sz w:val="32"/>
          <w:szCs w:val="32"/>
        </w:rPr>
        <w:t>（责任单位：区工信局）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w:t>
      </w:r>
      <w:bookmarkStart w:id="2" w:name="_Hlk153810501"/>
      <w:r>
        <w:rPr>
          <w:rFonts w:ascii="Times New Roman" w:hAnsi="Times New Roman" w:eastAsia="方正仿宋简体" w:cs="Times New Roman"/>
          <w:snapToGrid w:val="0"/>
          <w:sz w:val="32"/>
          <w:szCs w:val="32"/>
        </w:rPr>
        <w:t>生产性服务业增加值占服务业比重达市定目标；</w:t>
      </w:r>
      <w:bookmarkEnd w:id="2"/>
      <w:r>
        <w:rPr>
          <w:rFonts w:ascii="Times New Roman" w:hAnsi="Times New Roman" w:eastAsia="方正楷体简体" w:cs="Times New Roman"/>
          <w:sz w:val="32"/>
          <w:szCs w:val="32"/>
        </w:rPr>
        <w:t>（责任单位：区发改委）</w:t>
      </w:r>
    </w:p>
    <w:p>
      <w:pPr>
        <w:spacing w:line="55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w:t>
      </w:r>
      <w:bookmarkStart w:id="3" w:name="_Hlk154063108"/>
      <w:r>
        <w:rPr>
          <w:rFonts w:ascii="Times New Roman" w:hAnsi="Times New Roman" w:eastAsia="方正仿宋简体" w:cs="Times New Roman"/>
          <w:snapToGrid w:val="0"/>
          <w:sz w:val="32"/>
          <w:szCs w:val="32"/>
        </w:rPr>
        <w:t>新增国家和省级专精特新企业数、制造业智能化改造和数字化转型改造企业数、数字经济核心产业增加值占地区生产总值比重达市定目标</w:t>
      </w:r>
      <w:bookmarkEnd w:id="3"/>
      <w:r>
        <w:rPr>
          <w:rFonts w:ascii="Times New Roman" w:hAnsi="Times New Roman" w:eastAsia="方正仿宋简体" w:cs="Times New Roman"/>
          <w:snapToGrid w:val="0"/>
          <w:sz w:val="32"/>
          <w:szCs w:val="32"/>
        </w:rPr>
        <w:t>。</w:t>
      </w:r>
      <w:r>
        <w:rPr>
          <w:rFonts w:ascii="Times New Roman" w:hAnsi="Times New Roman" w:eastAsia="方正楷体简体" w:cs="Times New Roman"/>
          <w:snapToGrid w:val="0"/>
          <w:sz w:val="32"/>
          <w:szCs w:val="32"/>
        </w:rPr>
        <w:t>（责任单位：区工信局）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3</w:t>
      </w:r>
      <w:r>
        <w:rPr>
          <w:rFonts w:ascii="Times New Roman" w:hAnsi="Times New Roman" w:eastAsia="方正楷体简体" w:cs="Times New Roman"/>
          <w:bCs/>
          <w:sz w:val="32"/>
          <w:szCs w:val="32"/>
        </w:rPr>
        <w:t>．</w:t>
      </w:r>
      <w:r>
        <w:rPr>
          <w:rFonts w:ascii="Times New Roman" w:hAnsi="Times New Roman" w:eastAsia="方正楷体简体" w:cs="Times New Roman"/>
          <w:sz w:val="32"/>
          <w:szCs w:val="32"/>
        </w:rPr>
        <w:t>创新驱动</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w:t>
      </w:r>
      <w:bookmarkStart w:id="4" w:name="_Hlk153810519"/>
      <w:r>
        <w:rPr>
          <w:rFonts w:ascii="Times New Roman" w:hAnsi="Times New Roman" w:eastAsia="方正仿宋简体" w:cs="Times New Roman"/>
          <w:snapToGrid w:val="0"/>
          <w:sz w:val="32"/>
          <w:szCs w:val="32"/>
        </w:rPr>
        <w:t>高新技术企业数有效期内总数突破400家</w:t>
      </w:r>
      <w:bookmarkEnd w:id="4"/>
      <w:r>
        <w:rPr>
          <w:rFonts w:ascii="Times New Roman" w:hAnsi="Times New Roman" w:eastAsia="方正仿宋简体" w:cs="Times New Roman"/>
          <w:snapToGrid w:val="0"/>
          <w:sz w:val="32"/>
          <w:szCs w:val="32"/>
        </w:rPr>
        <w:t>；</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w:t>
      </w:r>
      <w:r>
        <w:rPr>
          <w:rFonts w:ascii="Times New Roman" w:hAnsi="Times New Roman" w:eastAsia="方正仿宋简体" w:cs="Times New Roman"/>
          <w:sz w:val="32"/>
          <w:szCs w:val="32"/>
        </w:rPr>
        <w:t>全社会研发经费支出占</w:t>
      </w:r>
      <w:r>
        <w:rPr>
          <w:rFonts w:ascii="Times New Roman" w:hAnsi="Times New Roman" w:eastAsia="方正仿宋简体" w:cs="Times New Roman"/>
          <w:snapToGrid w:val="0"/>
          <w:sz w:val="32"/>
          <w:szCs w:val="32"/>
        </w:rPr>
        <w:t>地区生产总值</w:t>
      </w:r>
      <w:r>
        <w:rPr>
          <w:rFonts w:ascii="Times New Roman" w:hAnsi="Times New Roman" w:eastAsia="方正仿宋简体" w:cs="Times New Roman"/>
          <w:sz w:val="32"/>
          <w:szCs w:val="32"/>
        </w:rPr>
        <w:t>比重</w:t>
      </w:r>
      <w:r>
        <w:rPr>
          <w:rFonts w:ascii="Times New Roman" w:hAnsi="Times New Roman" w:eastAsia="方正仿宋简体" w:cs="Times New Roman"/>
          <w:snapToGrid w:val="0"/>
          <w:sz w:val="32"/>
          <w:szCs w:val="32"/>
        </w:rPr>
        <w:t>达2.88%以上</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napToGrid w:val="0"/>
          <w:sz w:val="32"/>
          <w:szCs w:val="32"/>
        </w:rPr>
        <w:t>——技术合同成交额超21亿元；</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——高新技术产业产值占规模以上工业产值比重力争达57%；</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责任单位：区科技局</w:t>
      </w:r>
      <w:r>
        <w:rPr>
          <w:rFonts w:ascii="Times New Roman" w:hAnsi="Times New Roman" w:eastAsia="方正仿宋简体" w:cs="Times New Roman"/>
          <w:sz w:val="32"/>
          <w:szCs w:val="32"/>
        </w:rPr>
        <w:t>）</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——有效发明专利拥有量达市定目标；</w:t>
      </w:r>
      <w:r>
        <w:rPr>
          <w:rFonts w:ascii="Times New Roman" w:hAnsi="Times New Roman" w:eastAsia="方正楷体简体" w:cs="Times New Roman"/>
          <w:sz w:val="32"/>
          <w:szCs w:val="32"/>
        </w:rPr>
        <w:t>（责任单位：区市场监管局）</w:t>
      </w:r>
    </w:p>
    <w:p>
      <w:pPr>
        <w:spacing w:line="56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4．民生保障</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——城乡基本养老保险参保缴费率保持90%以上；</w:t>
      </w:r>
      <w:r>
        <w:rPr>
          <w:rFonts w:ascii="Times New Roman" w:hAnsi="Times New Roman" w:eastAsia="方正楷体简体" w:cs="Times New Roman"/>
          <w:sz w:val="32"/>
          <w:szCs w:val="32"/>
        </w:rPr>
        <w:t>（责任单位：区人社局）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——城乡基本医疗保险参保率保持99%以上；</w:t>
      </w:r>
      <w:r>
        <w:rPr>
          <w:rFonts w:ascii="Times New Roman" w:hAnsi="Times New Roman" w:eastAsia="方正楷体简体" w:cs="Times New Roman"/>
          <w:sz w:val="32"/>
          <w:szCs w:val="32"/>
        </w:rPr>
        <w:t>（责任单位：区医保分局）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——城镇新增就业人数达市定目标；</w:t>
      </w:r>
      <w:r>
        <w:rPr>
          <w:rFonts w:ascii="Times New Roman" w:hAnsi="Times New Roman" w:eastAsia="方正楷体简体" w:cs="Times New Roman"/>
          <w:sz w:val="32"/>
          <w:szCs w:val="32"/>
        </w:rPr>
        <w:t>（责任单位：区人社局）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ascii="Times New Roman" w:hAnsi="Times New Roman" w:eastAsia="方正仿宋简体" w:cs="Times New Roman"/>
          <w:snapToGrid w:val="0"/>
          <w:sz w:val="32"/>
          <w:szCs w:val="32"/>
        </w:rPr>
        <w:t>接受上门服务的居家老年人数占比达28%；（</w:t>
      </w:r>
      <w:r>
        <w:rPr>
          <w:rFonts w:ascii="Times New Roman" w:hAnsi="Times New Roman" w:eastAsia="方正楷体简体" w:cs="Times New Roman"/>
          <w:sz w:val="32"/>
          <w:szCs w:val="32"/>
        </w:rPr>
        <w:t>责任单位：区民政局）</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——每千人口拥有0-3岁婴幼儿托位数稳定在4.5个以上，每千人执业（助理）医师数2.56人，每千人口医疗卫生机构床位数3.8张；</w:t>
      </w:r>
      <w:r>
        <w:rPr>
          <w:rFonts w:ascii="Times New Roman" w:hAnsi="Times New Roman" w:eastAsia="方正楷体简体" w:cs="Times New Roman"/>
          <w:sz w:val="32"/>
          <w:szCs w:val="32"/>
        </w:rPr>
        <w:t>（责任单位：区卫健委）</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——文化产业增加值占地区生产总值比重提高0.2个百分点；（</w:t>
      </w:r>
      <w:r>
        <w:rPr>
          <w:rFonts w:ascii="Times New Roman" w:hAnsi="Times New Roman" w:eastAsia="方正楷体简体" w:cs="Times New Roman"/>
          <w:sz w:val="32"/>
          <w:szCs w:val="32"/>
        </w:rPr>
        <w:t>责任单位：区委宣传部</w:t>
      </w:r>
      <w:r>
        <w:rPr>
          <w:rFonts w:ascii="Times New Roman" w:hAnsi="Times New Roman" w:eastAsia="方正仿宋简体" w:cs="Times New Roman"/>
          <w:snapToGrid w:val="0"/>
          <w:sz w:val="32"/>
          <w:szCs w:val="32"/>
        </w:rPr>
        <w:t>）</w:t>
      </w:r>
    </w:p>
    <w:p>
      <w:pPr>
        <w:spacing w:line="560" w:lineRule="exact"/>
        <w:ind w:firstLine="640" w:firstLineChars="200"/>
        <w:rPr>
          <w:rFonts w:ascii="Times New Roman" w:hAnsi="Times New Roman" w:eastAsia="方正仿宋简体" w:cs="Times New Roman"/>
          <w:snapToGrid w:val="0"/>
          <w:sz w:val="32"/>
          <w:szCs w:val="32"/>
        </w:rPr>
      </w:pPr>
      <w:r>
        <w:rPr>
          <w:rFonts w:ascii="Times New Roman" w:hAnsi="Times New Roman" w:eastAsia="方正仿宋简体" w:cs="Times New Roman"/>
          <w:snapToGrid w:val="0"/>
          <w:sz w:val="32"/>
          <w:szCs w:val="32"/>
        </w:rPr>
        <w:t>——全体</w:t>
      </w:r>
      <w:r>
        <w:rPr>
          <w:rFonts w:ascii="Times New Roman" w:hAnsi="Times New Roman" w:eastAsia="方正仿宋简体" w:cs="Times New Roman"/>
          <w:sz w:val="32"/>
          <w:szCs w:val="32"/>
        </w:rPr>
        <w:t>居民人均可支配收入增速与经济增长基本同步</w:t>
      </w:r>
      <w:r>
        <w:rPr>
          <w:rFonts w:ascii="Times New Roman" w:hAnsi="Times New Roman" w:eastAsia="方正仿宋简体" w:cs="Times New Roman"/>
          <w:snapToGrid w:val="0"/>
          <w:sz w:val="32"/>
          <w:szCs w:val="32"/>
        </w:rPr>
        <w:t>。</w:t>
      </w:r>
      <w:r>
        <w:rPr>
          <w:rFonts w:ascii="Times New Roman" w:hAnsi="Times New Roman" w:eastAsia="方正楷体简体" w:cs="Times New Roman"/>
          <w:sz w:val="32"/>
          <w:szCs w:val="32"/>
        </w:rPr>
        <w:t>（责任单位：区发改委）</w:t>
      </w:r>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bCs/>
          <w:sz w:val="32"/>
          <w:szCs w:val="32"/>
        </w:rPr>
        <w:t>5．生态环境</w:t>
      </w:r>
    </w:p>
    <w:p>
      <w:pPr>
        <w:spacing w:line="560" w:lineRule="exact"/>
        <w:ind w:firstLine="640" w:firstLineChars="200"/>
        <w:rPr>
          <w:rFonts w:ascii="Times New Roman" w:hAnsi="Times New Roman" w:eastAsia="方正楷体简体" w:cs="Times New Roman"/>
          <w:sz w:val="32"/>
          <w:szCs w:val="32"/>
        </w:rPr>
      </w:pPr>
      <w:bookmarkStart w:id="5" w:name="_Hlk90488910"/>
      <w:r>
        <w:rPr>
          <w:rFonts w:ascii="Times New Roman" w:hAnsi="Times New Roman" w:eastAsia="方正楷体简体" w:cs="Times New Roman"/>
          <w:sz w:val="32"/>
          <w:szCs w:val="32"/>
        </w:rPr>
        <w:t>——</w:t>
      </w:r>
      <w:r>
        <w:rPr>
          <w:rFonts w:ascii="Times New Roman" w:hAnsi="Times New Roman" w:eastAsia="方正仿宋简体" w:cs="Times New Roman"/>
          <w:sz w:val="32"/>
          <w:szCs w:val="32"/>
        </w:rPr>
        <w:t>单位工业增加值能耗下降达市定目标；（</w:t>
      </w:r>
      <w:r>
        <w:rPr>
          <w:rFonts w:ascii="Times New Roman" w:hAnsi="Times New Roman" w:eastAsia="方正楷体简体" w:cs="Times New Roman"/>
          <w:sz w:val="32"/>
          <w:szCs w:val="32"/>
        </w:rPr>
        <w:t>责任单位：区工信局</w:t>
      </w:r>
      <w:r>
        <w:rPr>
          <w:rFonts w:ascii="Times New Roman" w:hAnsi="Times New Roman" w:eastAsia="方正仿宋简体" w:cs="Times New Roman"/>
          <w:sz w:val="32"/>
          <w:szCs w:val="32"/>
        </w:rPr>
        <w:t>）</w:t>
      </w:r>
    </w:p>
    <w:p>
      <w:pPr>
        <w:spacing w:line="55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——空气质量达到二级标准以上天数比例、细颗粒物（PM</w:t>
      </w:r>
      <w:r>
        <w:rPr>
          <w:rFonts w:ascii="Times New Roman" w:hAnsi="Times New Roman" w:eastAsia="方正仿宋简体" w:cs="Times New Roman"/>
          <w:sz w:val="32"/>
          <w:szCs w:val="32"/>
          <w:vertAlign w:val="subscript"/>
        </w:rPr>
        <w:t>2.5</w:t>
      </w:r>
      <w:r>
        <w:rPr>
          <w:rFonts w:ascii="Times New Roman" w:hAnsi="Times New Roman" w:eastAsia="方正仿宋简体" w:cs="Times New Roman"/>
          <w:sz w:val="32"/>
          <w:szCs w:val="32"/>
        </w:rPr>
        <w:t>）浓度、地表水省考断面达到或好于Ⅲ类水质比例达市定目标</w:t>
      </w:r>
      <w:bookmarkEnd w:id="5"/>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（责任单位：六合生态环境局、区水务局）</w:t>
      </w:r>
    </w:p>
    <w:p>
      <w:pPr>
        <w:spacing w:line="560" w:lineRule="exact"/>
        <w:ind w:firstLine="640" w:firstLineChars="200"/>
        <w:rPr>
          <w:rFonts w:ascii="Times New Roman" w:hAnsi="Times New Roman" w:eastAsia="方正楷体简体" w:cs="Times New Roman"/>
          <w:bCs/>
          <w:sz w:val="32"/>
          <w:szCs w:val="32"/>
        </w:rPr>
      </w:pPr>
      <w:bookmarkStart w:id="6" w:name="_Hlk122084192"/>
      <w:r>
        <w:rPr>
          <w:rFonts w:ascii="Times New Roman" w:hAnsi="Times New Roman" w:eastAsia="方正楷体简体" w:cs="Times New Roman"/>
          <w:bCs/>
          <w:sz w:val="32"/>
          <w:szCs w:val="32"/>
        </w:rPr>
        <w:t>6．安全韧性</w:t>
      </w:r>
    </w:p>
    <w:p>
      <w:pPr>
        <w:spacing w:line="560" w:lineRule="exact"/>
        <w:ind w:firstLine="640" w:firstLineChars="200"/>
        <w:rPr>
          <w:rFonts w:ascii="Times New Roman" w:hAnsi="Times New Roman" w:eastAsia="方正楷体简体" w:cs="Times New Roman"/>
          <w:sz w:val="32"/>
          <w:szCs w:val="32"/>
        </w:rPr>
      </w:pPr>
      <w:bookmarkStart w:id="7" w:name="_Hlk90488936"/>
      <w:r>
        <w:rPr>
          <w:rFonts w:ascii="Times New Roman" w:hAnsi="Times New Roman" w:eastAsia="方正仿宋简体" w:cs="Times New Roman"/>
          <w:snapToGrid w:val="0"/>
          <w:sz w:val="32"/>
          <w:szCs w:val="32"/>
        </w:rPr>
        <w:t>——粮食综合生产能力</w:t>
      </w:r>
      <w:r>
        <w:rPr>
          <w:rFonts w:ascii="Times New Roman" w:hAnsi="Times New Roman" w:eastAsia="方正仿宋简体" w:cs="Times New Roman"/>
          <w:sz w:val="32"/>
          <w:szCs w:val="32"/>
        </w:rPr>
        <w:t>达市考核目标</w:t>
      </w:r>
      <w:bookmarkEnd w:id="7"/>
      <w:r>
        <w:rPr>
          <w:rFonts w:ascii="Times New Roman" w:hAnsi="Times New Roman" w:eastAsia="方正仿宋简体" w:cs="Times New Roman"/>
          <w:snapToGrid w:val="0"/>
          <w:sz w:val="32"/>
          <w:szCs w:val="32"/>
        </w:rPr>
        <w:t>；</w:t>
      </w:r>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责任单位：区农业农村局）</w:t>
      </w:r>
      <w:bookmarkStart w:id="8" w:name="_Hlk90488931"/>
    </w:p>
    <w:p>
      <w:pPr>
        <w:spacing w:line="560" w:lineRule="exact"/>
        <w:ind w:firstLine="640" w:firstLineChars="200"/>
        <w:rPr>
          <w:rFonts w:ascii="Times New Roman" w:hAnsi="Times New Roman" w:eastAsia="方正楷体简体" w:cs="Times New Roman"/>
          <w:sz w:val="32"/>
          <w:szCs w:val="32"/>
        </w:rPr>
      </w:pPr>
      <w:r>
        <w:rPr>
          <w:rFonts w:ascii="Times New Roman" w:hAnsi="Times New Roman" w:eastAsia="方正仿宋简体" w:cs="Times New Roman"/>
          <w:snapToGrid w:val="0"/>
          <w:sz w:val="32"/>
          <w:szCs w:val="32"/>
        </w:rPr>
        <w:t>——耕地保有量</w:t>
      </w:r>
      <w:bookmarkEnd w:id="8"/>
      <w:r>
        <w:rPr>
          <w:rFonts w:ascii="Times New Roman" w:hAnsi="Times New Roman" w:eastAsia="方正仿宋简体" w:cs="Times New Roman"/>
          <w:snapToGrid w:val="0"/>
          <w:sz w:val="32"/>
          <w:szCs w:val="32"/>
        </w:rPr>
        <w:t>5.196万公顷；</w:t>
      </w:r>
      <w:r>
        <w:rPr>
          <w:rFonts w:ascii="Times New Roman" w:hAnsi="Times New Roman" w:eastAsia="方正楷体简体" w:cs="Times New Roman"/>
          <w:sz w:val="32"/>
          <w:szCs w:val="32"/>
        </w:rPr>
        <w:t>（责任单位：区规划资源分局）</w:t>
      </w:r>
    </w:p>
    <w:p>
      <w:pPr>
        <w:spacing w:line="560" w:lineRule="exact"/>
        <w:ind w:firstLine="640" w:firstLineChars="200"/>
        <w:rPr>
          <w:rFonts w:ascii="Times New Roman" w:hAnsi="Times New Roman" w:eastAsia="方正仿宋简体" w:cs="Times New Roman"/>
          <w:sz w:val="32"/>
          <w:szCs w:val="32"/>
        </w:rPr>
      </w:pPr>
      <w:bookmarkStart w:id="9" w:name="_Hlk90488940"/>
      <w:r>
        <w:rPr>
          <w:rFonts w:ascii="Times New Roman" w:hAnsi="Times New Roman" w:eastAsia="方正仿宋简体" w:cs="Times New Roman"/>
          <w:snapToGrid w:val="0"/>
          <w:sz w:val="32"/>
          <w:szCs w:val="32"/>
        </w:rPr>
        <w:t>——</w:t>
      </w:r>
      <w:r>
        <w:rPr>
          <w:rFonts w:ascii="Times New Roman" w:hAnsi="Times New Roman" w:eastAsia="方正仿宋简体" w:cs="Times New Roman"/>
          <w:bCs/>
          <w:sz w:val="32"/>
          <w:szCs w:val="32"/>
        </w:rPr>
        <w:t>安全生产发展水平达市考核目标</w:t>
      </w:r>
      <w:bookmarkEnd w:id="9"/>
      <w:r>
        <w:rPr>
          <w:rFonts w:ascii="Times New Roman" w:hAnsi="Times New Roman" w:eastAsia="方正仿宋简体" w:cs="Times New Roman"/>
          <w:sz w:val="32"/>
          <w:szCs w:val="32"/>
        </w:rPr>
        <w:t>。（</w:t>
      </w:r>
      <w:r>
        <w:rPr>
          <w:rFonts w:ascii="Times New Roman" w:hAnsi="Times New Roman" w:eastAsia="方正楷体简体" w:cs="Times New Roman"/>
          <w:sz w:val="32"/>
          <w:szCs w:val="32"/>
        </w:rPr>
        <w:t>责任单位：区应急管理局</w:t>
      </w:r>
      <w:r>
        <w:rPr>
          <w:rFonts w:ascii="Times New Roman" w:hAnsi="Times New Roman" w:eastAsia="方正仿宋简体" w:cs="Times New Roman"/>
          <w:sz w:val="32"/>
          <w:szCs w:val="32"/>
        </w:rPr>
        <w:t>）</w:t>
      </w:r>
      <w:bookmarkEnd w:id="6"/>
    </w:p>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kern w:val="0"/>
          <w:sz w:val="32"/>
          <w:szCs w:val="32"/>
        </w:rPr>
        <w:t>三、重点任务</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1.多管齐下提升产业发展质效。</w:t>
      </w:r>
      <w:r>
        <w:rPr>
          <w:rFonts w:ascii="Times New Roman" w:hAnsi="Times New Roman" w:eastAsia="方正仿宋简体" w:cs="Times New Roman"/>
          <w:sz w:val="32"/>
          <w:szCs w:val="32"/>
        </w:rPr>
        <w:t>以六合产业科技创新港为牵引，着力打造“一港两城六片区”，推动高校合作产业园区建设；科学谋划布局“501科创产业带”、沿江北大道发展带，深入实施产业强区行动计划，巩固提升新能源、智能制造装备、节能环保新材料及航空航天产业；</w:t>
      </w:r>
      <w:r>
        <w:rPr>
          <w:rFonts w:ascii="Times New Roman" w:hAnsi="Times New Roman" w:eastAsia="方正仿宋简体" w:cs="Times New Roman"/>
          <w:color w:val="000000"/>
          <w:sz w:val="32"/>
          <w:szCs w:val="32"/>
        </w:rPr>
        <w:t>实施“技改强企”升级行动，确保净增规上工业企业32家、力争40家，规上工业总产值增长10%，工业投资增长8%；推进生产性服务业专业化提升和生活性服务业多样化发展，规上服务业营收增长5%；新建和改造提升高标准农田2.6万亩</w:t>
      </w:r>
      <w:r>
        <w:rPr>
          <w:rFonts w:ascii="Times New Roman" w:hAnsi="Times New Roman" w:eastAsia="方正仿宋简体" w:cs="Times New Roman"/>
          <w:sz w:val="32"/>
          <w:szCs w:val="32"/>
        </w:rPr>
        <w:t>，新增市级以上农业产业化龙头企业6家；深化文旅产业融合发展，创建程桥池杉湖省级生态旅游区。</w:t>
      </w:r>
    </w:p>
    <w:p>
      <w:pPr>
        <w:pStyle w:val="7"/>
        <w:adjustRightInd/>
        <w:spacing w:line="560" w:lineRule="exact"/>
        <w:ind w:firstLine="640" w:firstLineChars="200"/>
        <w:contextualSpacing/>
        <w:jc w:val="both"/>
        <w:rPr>
          <w:rFonts w:ascii="Times New Roman" w:hAnsi="Times New Roman" w:eastAsia="方正仿宋简体" w:cs="Times New Roman"/>
          <w:sz w:val="32"/>
          <w:szCs w:val="32"/>
        </w:rPr>
      </w:pPr>
      <w:r>
        <w:rPr>
          <w:rFonts w:ascii="Times New Roman" w:hAnsi="Times New Roman" w:eastAsia="方正楷体简体" w:cs="Times New Roman"/>
          <w:color w:val="auto"/>
          <w:kern w:val="2"/>
          <w:sz w:val="32"/>
          <w:szCs w:val="32"/>
        </w:rPr>
        <w:t>2.多措并举增强经济发展后劲。</w:t>
      </w:r>
      <w:r>
        <w:rPr>
          <w:rFonts w:ascii="Times New Roman" w:hAnsi="Times New Roman" w:eastAsia="方正仿宋简体" w:cs="Times New Roman"/>
          <w:sz w:val="32"/>
          <w:szCs w:val="32"/>
        </w:rPr>
        <w:t>持续优化招商引资体制机制，</w:t>
      </w:r>
      <w:r>
        <w:rPr>
          <w:rFonts w:ascii="Times New Roman" w:hAnsi="Times New Roman" w:eastAsia="方正仿宋简体" w:cs="Times New Roman"/>
          <w:color w:val="auto"/>
          <w:sz w:val="32"/>
          <w:szCs w:val="32"/>
        </w:rPr>
        <w:t>全年签约项目投资总额700亿元、实际投资总额150亿元、亿元以上签约项目数不少于150个</w:t>
      </w:r>
      <w:r>
        <w:rPr>
          <w:rFonts w:ascii="Times New Roman" w:hAnsi="Times New Roman" w:eastAsia="方正仿宋简体" w:cs="Times New Roman"/>
          <w:sz w:val="32"/>
          <w:szCs w:val="32"/>
        </w:rPr>
        <w:t>；优化民间资本投资环境，采取有效措施激发民间投资活力；打造一批具有六合特色、独特标识、多业态融合发展的消费场景，不断壮大消费热点；加快培育外贸增长点，筹建六合跨境电商产业园；做好要素保障，推进“拿地即开工”常态化，全力推动项目早开工、早建成、早运营。</w:t>
      </w:r>
    </w:p>
    <w:p>
      <w:pPr>
        <w:pStyle w:val="7"/>
        <w:adjustRightInd/>
        <w:spacing w:line="560" w:lineRule="exact"/>
        <w:ind w:firstLine="640" w:firstLineChars="200"/>
        <w:contextualSpacing/>
        <w:jc w:val="both"/>
        <w:rPr>
          <w:rFonts w:ascii="Times New Roman" w:hAnsi="Times New Roman" w:eastAsia="方正仿宋简体" w:cs="Times New Roman"/>
          <w:sz w:val="32"/>
          <w:szCs w:val="32"/>
        </w:rPr>
      </w:pPr>
      <w:r>
        <w:rPr>
          <w:rFonts w:ascii="Times New Roman" w:hAnsi="Times New Roman" w:eastAsia="方正楷体简体" w:cs="Times New Roman"/>
          <w:color w:val="auto"/>
          <w:kern w:val="2"/>
          <w:sz w:val="32"/>
          <w:szCs w:val="32"/>
        </w:rPr>
        <w:t>3.多点突破深化关键环节改革。</w:t>
      </w:r>
      <w:r>
        <w:rPr>
          <w:rFonts w:ascii="Times New Roman" w:hAnsi="Times New Roman" w:eastAsia="方正仿宋简体" w:cs="Times New Roman"/>
          <w:sz w:val="32"/>
          <w:szCs w:val="32"/>
        </w:rPr>
        <w:t>深化营商环境创新试点，全面推进“一照多址”，推行非现场执法案件办理、应急安全“综研联检”等执法模式；完善农村承包地“三权分置”制度，深化财税体制改革、教育和健康领域改革，创建省级义务教育优质均衡发展区；全力融入长江经济带、扬子江城市群建设，充分发挥南京辐射带动苏北、皖东发展的战略桥头堡作用。</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4.多点开花加快大美六合建设。</w:t>
      </w:r>
      <w:r>
        <w:rPr>
          <w:rFonts w:ascii="Times New Roman" w:hAnsi="Times New Roman" w:eastAsia="方正仿宋简体" w:cs="Times New Roman"/>
          <w:sz w:val="32"/>
          <w:szCs w:val="32"/>
        </w:rPr>
        <w:t>加快宁淮城际、北沿江高铁征地拆迁，推进宁滁高速、宁盐高速基础施工；谋划推进六合西站枢纽经济区建设；</w:t>
      </w:r>
      <w:r>
        <w:rPr>
          <w:rFonts w:ascii="Times New Roman" w:hAnsi="Times New Roman" w:eastAsia="方正仿宋简体" w:cs="Times New Roman"/>
          <w:color w:val="000000" w:themeColor="text1"/>
          <w:sz w:val="32"/>
          <w:szCs w:val="32"/>
          <w14:textFill>
            <w14:solidFill>
              <w14:schemeClr w14:val="tx1"/>
            </w14:solidFill>
          </w14:textFill>
        </w:rPr>
        <w:t>高质量完成全国无障碍建设示范城市创建任务；</w:t>
      </w:r>
      <w:r>
        <w:rPr>
          <w:rFonts w:ascii="Times New Roman" w:hAnsi="Times New Roman" w:eastAsia="方正仿宋简体" w:cs="Times New Roman"/>
          <w:sz w:val="32"/>
          <w:szCs w:val="32"/>
        </w:rPr>
        <w:t>推进生态环境污染治理“4+1”工程，</w:t>
      </w:r>
      <w:r>
        <w:rPr>
          <w:rFonts w:ascii="Times New Roman" w:hAnsi="Times New Roman" w:eastAsia="方正仿宋简体" w:cs="Times New Roman"/>
          <w:color w:val="000000" w:themeColor="text1"/>
          <w:sz w:val="32"/>
          <w:szCs w:val="32"/>
          <w14:textFill>
            <w14:solidFill>
              <w14:schemeClr w14:val="tx1"/>
            </w14:solidFill>
          </w14:textFill>
        </w:rPr>
        <w:t>巩固“长江禁渔”成效，打造最美长江岸线；顺利通过国家整区屋顶分布式光伏开发试点验收，大力推进冶山抽水蓄能电站项目前期工作。</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5.多方联动持续增进民生福祉。</w:t>
      </w:r>
      <w:r>
        <w:rPr>
          <w:rFonts w:ascii="Times New Roman" w:hAnsi="Times New Roman" w:eastAsia="方正仿宋简体" w:cs="Times New Roman"/>
          <w:sz w:val="32"/>
          <w:szCs w:val="32"/>
        </w:rPr>
        <w:t>拓宽就业渠道，推动重点群体就业；</w:t>
      </w:r>
      <w:r>
        <w:rPr>
          <w:rFonts w:ascii="Times New Roman" w:hAnsi="Times New Roman" w:eastAsia="方正仿宋简体" w:cs="Times New Roman"/>
          <w:bCs/>
          <w:sz w:val="32"/>
          <w:szCs w:val="32"/>
        </w:rPr>
        <w:t>完善“一老一小”服务体系，</w:t>
      </w:r>
      <w:r>
        <w:rPr>
          <w:rFonts w:ascii="Times New Roman" w:hAnsi="Times New Roman" w:eastAsia="方正仿宋简体" w:cs="Times New Roman"/>
          <w:sz w:val="32"/>
          <w:szCs w:val="32"/>
        </w:rPr>
        <w:t>探索医养融合养老模式，加大</w:t>
      </w:r>
      <w:r>
        <w:rPr>
          <w:rFonts w:ascii="Times New Roman" w:hAnsi="Times New Roman" w:eastAsia="方正仿宋简体" w:cs="Times New Roman"/>
          <w:kern w:val="21"/>
          <w:sz w:val="32"/>
          <w:szCs w:val="32"/>
          <w:lang w:bidi="ar"/>
        </w:rPr>
        <w:t>普惠托育服务供给以及社区托育点建设力度；开展新一轮全国双拥模范城创建；</w:t>
      </w:r>
      <w:r>
        <w:rPr>
          <w:rFonts w:ascii="Times New Roman" w:hAnsi="Times New Roman" w:eastAsia="方正仿宋简体" w:cs="Times New Roman"/>
          <w:kern w:val="21"/>
          <w:sz w:val="32"/>
          <w:szCs w:val="32"/>
        </w:rPr>
        <w:t>深化与省中医院、市第一医院院府合作，开工建设</w:t>
      </w:r>
      <w:r>
        <w:rPr>
          <w:rFonts w:ascii="Times New Roman" w:hAnsi="Times New Roman" w:eastAsia="方正仿宋简体" w:cs="Times New Roman"/>
          <w:sz w:val="32"/>
          <w:szCs w:val="32"/>
        </w:rPr>
        <w:t>旭光路小学，建成留右中小学幼儿园；推广“1+1+3”现代基层治理体系“六合模式”和</w:t>
      </w:r>
      <w:r>
        <w:rPr>
          <w:rFonts w:ascii="Times New Roman" w:hAnsi="Times New Roman" w:eastAsia="方正仿宋简体" w:cs="Times New Roman"/>
          <w:sz w:val="32"/>
        </w:rPr>
        <w:t>“141”乡村治理“金庄样板”</w:t>
      </w:r>
      <w:r>
        <w:rPr>
          <w:rFonts w:ascii="Times New Roman" w:hAnsi="Times New Roman" w:eastAsia="方正仿宋简体" w:cs="Times New Roman"/>
          <w:sz w:val="32"/>
          <w:szCs w:val="32"/>
        </w:rPr>
        <w:t>，持续抓好重点领域安全监管，妥善做好企业债务、非法集资等风险化解。</w:t>
      </w:r>
    </w:p>
    <w:p>
      <w:pPr>
        <w:rPr>
          <w:rFonts w:hint="default" w:ascii="Times New Roman" w:hAnsi="Times New Roman" w:eastAsia="方正仿宋简体" w:cs="Times New Roman"/>
          <w:sz w:val="32"/>
          <w:szCs w:val="40"/>
        </w:rPr>
      </w:pPr>
    </w:p>
    <w:bookmarkEnd w:id="10"/>
    <w:sectPr>
      <w:footerReference r:id="rId3" w:type="default"/>
      <w:pgSz w:w="11906" w:h="16838"/>
      <w:pgMar w:top="2098" w:right="1474" w:bottom="1984" w:left="1588"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简楷">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0"/>
                              <w:lang w:eastAsia="zh-CN"/>
                            </w:rPr>
                          </w:pPr>
                          <w:r>
                            <w:rPr>
                              <w:rFonts w:hint="eastAsia" w:ascii="宋体" w:hAnsi="宋体" w:eastAsia="宋体" w:cs="宋体"/>
                              <w:sz w:val="28"/>
                              <w:szCs w:val="40"/>
                              <w:lang w:eastAsia="zh-CN"/>
                            </w:rPr>
                            <w:t>—</w:t>
                          </w:r>
                          <w:r>
                            <w:rPr>
                              <w:rFonts w:hint="default" w:ascii="Times New Roman" w:hAnsi="Times New Roman" w:eastAsia="宋体" w:cs="Times New Roman"/>
                              <w:sz w:val="28"/>
                              <w:szCs w:val="40"/>
                            </w:rPr>
                            <w:fldChar w:fldCharType="begin"/>
                          </w:r>
                          <w:r>
                            <w:rPr>
                              <w:rFonts w:hint="default" w:ascii="Times New Roman" w:hAnsi="Times New Roman" w:eastAsia="宋体" w:cs="Times New Roman"/>
                              <w:sz w:val="28"/>
                              <w:szCs w:val="40"/>
                            </w:rPr>
                            <w:instrText xml:space="preserve"> PAGE  \* MERGEFORMAT </w:instrText>
                          </w:r>
                          <w:r>
                            <w:rPr>
                              <w:rFonts w:hint="default" w:ascii="Times New Roman" w:hAnsi="Times New Roman" w:eastAsia="宋体" w:cs="Times New Roman"/>
                              <w:sz w:val="28"/>
                              <w:szCs w:val="40"/>
                            </w:rPr>
                            <w:fldChar w:fldCharType="separate"/>
                          </w:r>
                          <w:r>
                            <w:rPr>
                              <w:rFonts w:hint="default" w:ascii="Times New Roman" w:hAnsi="Times New Roman" w:eastAsia="宋体" w:cs="Times New Roman"/>
                              <w:sz w:val="28"/>
                              <w:szCs w:val="40"/>
                            </w:rPr>
                            <w:t>1</w:t>
                          </w:r>
                          <w:r>
                            <w:rPr>
                              <w:rFonts w:hint="default" w:ascii="Times New Roman" w:hAnsi="Times New Roman" w:eastAsia="宋体" w:cs="Times New Roman"/>
                              <w:sz w:val="28"/>
                              <w:szCs w:val="40"/>
                            </w:rPr>
                            <w:fldChar w:fldCharType="end"/>
                          </w:r>
                          <w:r>
                            <w:rPr>
                              <w:rFonts w:hint="eastAsia" w:ascii="宋体" w:hAnsi="宋体" w:eastAsia="宋体" w:cs="宋体"/>
                              <w:sz w:val="28"/>
                              <w:szCs w:val="4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0"/>
                        <w:lang w:eastAsia="zh-CN"/>
                      </w:rPr>
                    </w:pPr>
                    <w:r>
                      <w:rPr>
                        <w:rFonts w:hint="eastAsia" w:ascii="宋体" w:hAnsi="宋体" w:eastAsia="宋体" w:cs="宋体"/>
                        <w:sz w:val="28"/>
                        <w:szCs w:val="40"/>
                        <w:lang w:eastAsia="zh-CN"/>
                      </w:rPr>
                      <w:t>—</w:t>
                    </w:r>
                    <w:r>
                      <w:rPr>
                        <w:rFonts w:hint="default" w:ascii="Times New Roman" w:hAnsi="Times New Roman" w:eastAsia="宋体" w:cs="Times New Roman"/>
                        <w:sz w:val="28"/>
                        <w:szCs w:val="40"/>
                      </w:rPr>
                      <w:fldChar w:fldCharType="begin"/>
                    </w:r>
                    <w:r>
                      <w:rPr>
                        <w:rFonts w:hint="default" w:ascii="Times New Roman" w:hAnsi="Times New Roman" w:eastAsia="宋体" w:cs="Times New Roman"/>
                        <w:sz w:val="28"/>
                        <w:szCs w:val="40"/>
                      </w:rPr>
                      <w:instrText xml:space="preserve"> PAGE  \* MERGEFORMAT </w:instrText>
                    </w:r>
                    <w:r>
                      <w:rPr>
                        <w:rFonts w:hint="default" w:ascii="Times New Roman" w:hAnsi="Times New Roman" w:eastAsia="宋体" w:cs="Times New Roman"/>
                        <w:sz w:val="28"/>
                        <w:szCs w:val="40"/>
                      </w:rPr>
                      <w:fldChar w:fldCharType="separate"/>
                    </w:r>
                    <w:r>
                      <w:rPr>
                        <w:rFonts w:hint="default" w:ascii="Times New Roman" w:hAnsi="Times New Roman" w:eastAsia="宋体" w:cs="Times New Roman"/>
                        <w:sz w:val="28"/>
                        <w:szCs w:val="40"/>
                      </w:rPr>
                      <w:t>1</w:t>
                    </w:r>
                    <w:r>
                      <w:rPr>
                        <w:rFonts w:hint="default" w:ascii="Times New Roman" w:hAnsi="Times New Roman" w:eastAsia="宋体" w:cs="Times New Roman"/>
                        <w:sz w:val="28"/>
                        <w:szCs w:val="40"/>
                      </w:rPr>
                      <w:fldChar w:fldCharType="end"/>
                    </w:r>
                    <w:r>
                      <w:rPr>
                        <w:rFonts w:hint="eastAsia" w:ascii="宋体" w:hAnsi="宋体" w:eastAsia="宋体" w:cs="宋体"/>
                        <w:sz w:val="28"/>
                        <w:szCs w:val="4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TRjMjE0OGM1Mjc0YzQxYTQ4M2JmNzIzZjAyYTMifQ=="/>
  </w:docVars>
  <w:rsids>
    <w:rsidRoot w:val="0F643EBE"/>
    <w:rsid w:val="02EC28BA"/>
    <w:rsid w:val="0F643EBE"/>
    <w:rsid w:val="119D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2024-01-08T01:33:00Z</dcterms:created>
  <dc:creator>谷裕丰(guyufeng)</dc:creator>
  <cp:lastModifiedBy>zfb</cp:lastModifiedBy>
  <cp:lastPrinted>2024-01-08T01:45:00Z</cp:lastPrinted>
  <dcterms:modified xsi:type="dcterms:W3CDTF">2024-01-11T02:07:24Z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7A31C35A45BA465B807E9B929A2E8AA1_11</vt:lpwstr>
  </property>
</Properties>
</file>