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DF146">
      <w:pPr>
        <w:spacing w:line="540" w:lineRule="exact"/>
        <w:jc w:val="center"/>
        <w:rPr>
          <w:rFonts w:hint="default" w:ascii="Times New Roman" w:hAnsi="Times New Roman" w:eastAsia="方正小标宋简体" w:cs="Times New Roman"/>
          <w:bCs/>
          <w:sz w:val="44"/>
          <w:szCs w:val="44"/>
        </w:rPr>
      </w:pPr>
      <w:bookmarkStart w:id="6" w:name="_GoBack"/>
      <w:r>
        <w:rPr>
          <w:rFonts w:hint="eastAsia" w:ascii="Times New Roman" w:hAnsi="Times New Roman" w:eastAsia="方正小标宋简体" w:cs="Times New Roman"/>
          <w:bCs/>
          <w:sz w:val="44"/>
          <w:szCs w:val="44"/>
          <w:lang w:val="en-US" w:eastAsia="zh-CN"/>
        </w:rPr>
        <w:t>南京市六合区</w:t>
      </w:r>
      <w:r>
        <w:rPr>
          <w:rFonts w:hint="default" w:ascii="Times New Roman" w:hAnsi="Times New Roman" w:eastAsia="方正小标宋简体" w:cs="Times New Roman"/>
          <w:bCs/>
          <w:sz w:val="44"/>
          <w:szCs w:val="44"/>
        </w:rPr>
        <w:t>2024年上半年国民经济</w:t>
      </w:r>
    </w:p>
    <w:p w14:paraId="79D0A0FD">
      <w:pPr>
        <w:spacing w:line="54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和社会发展计划执行情况</w:t>
      </w:r>
    </w:p>
    <w:bookmarkEnd w:id="6"/>
    <w:p w14:paraId="389906A6">
      <w:pPr>
        <w:pStyle w:val="2"/>
        <w:ind w:left="0" w:leftChars="0" w:firstLine="0"/>
        <w:rPr>
          <w:rFonts w:hint="default" w:ascii="Times New Roman" w:hAnsi="Times New Roman" w:cs="Times New Roman"/>
        </w:rPr>
      </w:pPr>
    </w:p>
    <w:p w14:paraId="3453DB6D">
      <w:pPr>
        <w:spacing w:line="56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一、上半年国民经济和社会发展计划执行情况</w:t>
      </w:r>
    </w:p>
    <w:p w14:paraId="0C2F0D81">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今年以来，全区上下坚持以习近平新时代中国特色社会主义思想为指导，</w:t>
      </w:r>
      <w:r>
        <w:rPr>
          <w:rFonts w:hint="default" w:ascii="Times New Roman" w:hAnsi="Times New Roman" w:eastAsia="方正仿宋简体" w:cs="Times New Roman"/>
          <w:sz w:val="32"/>
        </w:rPr>
        <w:t>深入学习贯彻党的二十大和二十届二中、三中全会精神，</w:t>
      </w:r>
      <w:r>
        <w:rPr>
          <w:rFonts w:hint="default" w:ascii="Times New Roman" w:hAnsi="Times New Roman" w:eastAsia="方正仿宋简体" w:cs="Times New Roman"/>
          <w:sz w:val="32"/>
          <w:szCs w:val="32"/>
        </w:rPr>
        <w:t>坚持稳中求进工作总基调，完整、准确、全面贯彻新发展理念，</w:t>
      </w:r>
      <w:r>
        <w:rPr>
          <w:rFonts w:hint="default" w:ascii="Times New Roman" w:hAnsi="Times New Roman" w:eastAsia="方正仿宋简体" w:cs="Times New Roman"/>
          <w:sz w:val="32"/>
        </w:rPr>
        <w:t>因地制宜加快发展新质生产力，建设南京绿色生产力特色区，</w:t>
      </w:r>
      <w:r>
        <w:rPr>
          <w:rFonts w:hint="default" w:ascii="Times New Roman" w:hAnsi="Times New Roman" w:eastAsia="方正仿宋简体" w:cs="Times New Roman"/>
          <w:sz w:val="32"/>
          <w:szCs w:val="32"/>
        </w:rPr>
        <w:t>扎实推进人代会确定的年度计划任务，经济运行高开稳走，社会大局保持稳定。</w:t>
      </w:r>
    </w:p>
    <w:p w14:paraId="2CDBA480">
      <w:pPr>
        <w:spacing w:line="560" w:lineRule="exact"/>
        <w:ind w:firstLine="640" w:firstLineChars="200"/>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（一）主要目标完成情况</w:t>
      </w:r>
    </w:p>
    <w:p w14:paraId="5A198472">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2024年列入区人代会主要指标共六大类33项，除8项年度监测指标暂无数据外，其余25项指标中，20项达进度要求，受内外投资需求减弱、重点企业营收下降及不利气象因素影响，全社会固定资产投资、实际利用外资、单位工业增加值能耗下降、空气质量达到二级标准以上天数比例、细颗粒物（PM</w:t>
      </w:r>
      <w:r>
        <w:rPr>
          <w:rFonts w:hint="default" w:ascii="Times New Roman" w:hAnsi="Times New Roman" w:eastAsia="方正仿宋简体" w:cs="Times New Roman"/>
          <w:sz w:val="32"/>
          <w:szCs w:val="32"/>
          <w:vertAlign w:val="subscript"/>
        </w:rPr>
        <w:t>2.5</w:t>
      </w:r>
      <w:r>
        <w:rPr>
          <w:rFonts w:hint="default" w:ascii="Times New Roman" w:hAnsi="Times New Roman" w:eastAsia="方正仿宋简体" w:cs="Times New Roman"/>
          <w:sz w:val="32"/>
          <w:szCs w:val="32"/>
        </w:rPr>
        <w:t>）浓度等5项指标未达进度要求。其中，全社会固定资产投资增速、细颗粒物（PM</w:t>
      </w:r>
      <w:r>
        <w:rPr>
          <w:rFonts w:hint="default" w:ascii="Times New Roman" w:hAnsi="Times New Roman" w:eastAsia="方正仿宋简体" w:cs="Times New Roman"/>
          <w:sz w:val="32"/>
          <w:szCs w:val="32"/>
          <w:vertAlign w:val="subscript"/>
        </w:rPr>
        <w:t>2.5</w:t>
      </w:r>
      <w:r>
        <w:rPr>
          <w:rFonts w:hint="default" w:ascii="Times New Roman" w:hAnsi="Times New Roman" w:eastAsia="方正仿宋简体" w:cs="Times New Roman"/>
          <w:sz w:val="32"/>
          <w:szCs w:val="32"/>
        </w:rPr>
        <w:t>）浓度均排名全市靠前；截止目前，空气质量达到二级标准以上天数比例已达标，单位工业增加值能耗下降、实际利用外资呈现逐月向好态势。</w:t>
      </w:r>
    </w:p>
    <w:p w14:paraId="3866E68F">
      <w:pPr>
        <w:spacing w:line="560" w:lineRule="exact"/>
        <w:jc w:val="center"/>
        <w:rPr>
          <w:rFonts w:hint="default" w:ascii="Times New Roman" w:hAnsi="Times New Roman" w:eastAsia="方正黑体简体" w:cs="Times New Roman"/>
          <w:sz w:val="28"/>
          <w:szCs w:val="28"/>
        </w:rPr>
      </w:pPr>
    </w:p>
    <w:p w14:paraId="55F77CD4">
      <w:pPr>
        <w:spacing w:line="560" w:lineRule="exact"/>
        <w:jc w:val="center"/>
        <w:rPr>
          <w:rFonts w:hint="default" w:ascii="Times New Roman" w:hAnsi="Times New Roman" w:eastAsia="方正黑体简体" w:cs="Times New Roman"/>
          <w:sz w:val="28"/>
          <w:szCs w:val="28"/>
        </w:rPr>
      </w:pPr>
    </w:p>
    <w:p w14:paraId="143A619E">
      <w:pPr>
        <w:spacing w:line="560" w:lineRule="exact"/>
        <w:jc w:val="center"/>
        <w:rPr>
          <w:rFonts w:hint="default" w:ascii="Times New Roman" w:hAnsi="Times New Roman" w:eastAsia="方正黑体简体" w:cs="Times New Roman"/>
          <w:sz w:val="28"/>
          <w:szCs w:val="28"/>
        </w:rPr>
      </w:pPr>
    </w:p>
    <w:p w14:paraId="7BDDB3AC">
      <w:pPr>
        <w:spacing w:line="560" w:lineRule="exact"/>
        <w:jc w:val="center"/>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28"/>
          <w:szCs w:val="28"/>
        </w:rPr>
        <w:t>2024年上半年主要指标完成情况表</w:t>
      </w:r>
    </w:p>
    <w:tbl>
      <w:tblPr>
        <w:tblStyle w:val="11"/>
        <w:tblW w:w="10290" w:type="dxa"/>
        <w:jc w:val="center"/>
        <w:tblBorders>
          <w:top w:val="double" w:color="auto" w:sz="4" w:space="0"/>
          <w:left w:val="none" w:color="auto" w:sz="0" w:space="0"/>
          <w:bottom w:val="dotted"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7"/>
        <w:gridCol w:w="621"/>
        <w:gridCol w:w="3353"/>
        <w:gridCol w:w="740"/>
        <w:gridCol w:w="2016"/>
        <w:gridCol w:w="819"/>
        <w:gridCol w:w="1134"/>
        <w:gridCol w:w="920"/>
      </w:tblGrid>
      <w:tr w14:paraId="0A3DDACC">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blHeader/>
          <w:jc w:val="center"/>
        </w:trPr>
        <w:tc>
          <w:tcPr>
            <w:tcW w:w="687" w:type="dxa"/>
            <w:vMerge w:val="restart"/>
            <w:tcBorders>
              <w:top w:val="double" w:color="auto" w:sz="4" w:space="0"/>
              <w:left w:val="nil"/>
              <w:bottom w:val="dotted" w:color="auto" w:sz="4" w:space="0"/>
              <w:right w:val="dotted" w:color="auto" w:sz="4" w:space="0"/>
            </w:tcBorders>
            <w:vAlign w:val="center"/>
          </w:tcPr>
          <w:p w14:paraId="0342B57D">
            <w:pPr>
              <w:spacing w:line="240" w:lineRule="exact"/>
              <w:rPr>
                <w:rFonts w:hint="default" w:ascii="Times New Roman" w:hAnsi="Times New Roman" w:eastAsia="方正黑体简体" w:cs="Times New Roman"/>
                <w:sz w:val="20"/>
                <w:szCs w:val="20"/>
              </w:rPr>
            </w:pPr>
            <w:r>
              <w:rPr>
                <w:rFonts w:hint="default" w:ascii="Times New Roman" w:hAnsi="Times New Roman" w:eastAsia="方正黑体简体" w:cs="Times New Roman"/>
                <w:sz w:val="20"/>
                <w:szCs w:val="20"/>
              </w:rPr>
              <w:t>类别</w:t>
            </w:r>
          </w:p>
        </w:tc>
        <w:tc>
          <w:tcPr>
            <w:tcW w:w="621" w:type="dxa"/>
            <w:vMerge w:val="restart"/>
            <w:tcBorders>
              <w:top w:val="double" w:color="auto" w:sz="4" w:space="0"/>
              <w:left w:val="dotted" w:color="auto" w:sz="4" w:space="0"/>
              <w:bottom w:val="dotted" w:color="auto" w:sz="4" w:space="0"/>
              <w:right w:val="dotted" w:color="auto" w:sz="4" w:space="0"/>
            </w:tcBorders>
            <w:vAlign w:val="center"/>
          </w:tcPr>
          <w:p w14:paraId="31393462">
            <w:pPr>
              <w:spacing w:line="240" w:lineRule="exact"/>
              <w:jc w:val="center"/>
              <w:rPr>
                <w:rFonts w:hint="default" w:ascii="Times New Roman" w:hAnsi="Times New Roman" w:eastAsia="方正黑体简体" w:cs="Times New Roman"/>
                <w:sz w:val="20"/>
                <w:szCs w:val="20"/>
              </w:rPr>
            </w:pPr>
            <w:r>
              <w:rPr>
                <w:rFonts w:hint="default" w:ascii="Times New Roman" w:hAnsi="Times New Roman" w:eastAsia="方正黑体简体" w:cs="Times New Roman"/>
                <w:sz w:val="20"/>
                <w:szCs w:val="20"/>
              </w:rPr>
              <w:t>序号</w:t>
            </w:r>
          </w:p>
        </w:tc>
        <w:tc>
          <w:tcPr>
            <w:tcW w:w="3353" w:type="dxa"/>
            <w:vMerge w:val="restart"/>
            <w:tcBorders>
              <w:top w:val="double" w:color="auto" w:sz="4" w:space="0"/>
              <w:left w:val="dotted" w:color="auto" w:sz="4" w:space="0"/>
              <w:bottom w:val="dotted" w:color="auto" w:sz="4" w:space="0"/>
              <w:right w:val="dotted" w:color="auto" w:sz="4" w:space="0"/>
            </w:tcBorders>
            <w:vAlign w:val="center"/>
          </w:tcPr>
          <w:p w14:paraId="7A9B6160">
            <w:pPr>
              <w:spacing w:line="240" w:lineRule="exact"/>
              <w:jc w:val="center"/>
              <w:rPr>
                <w:rFonts w:hint="default" w:ascii="Times New Roman" w:hAnsi="Times New Roman" w:eastAsia="方正黑体简体" w:cs="Times New Roman"/>
                <w:sz w:val="20"/>
                <w:szCs w:val="20"/>
              </w:rPr>
            </w:pPr>
            <w:r>
              <w:rPr>
                <w:rFonts w:hint="default" w:ascii="Times New Roman" w:hAnsi="Times New Roman" w:eastAsia="方正黑体简体" w:cs="Times New Roman"/>
                <w:sz w:val="20"/>
                <w:szCs w:val="20"/>
              </w:rPr>
              <w:t>指标名称</w:t>
            </w:r>
          </w:p>
        </w:tc>
        <w:tc>
          <w:tcPr>
            <w:tcW w:w="740" w:type="dxa"/>
            <w:vMerge w:val="restart"/>
            <w:tcBorders>
              <w:top w:val="double" w:color="auto" w:sz="4" w:space="0"/>
              <w:left w:val="dotted" w:color="auto" w:sz="4" w:space="0"/>
              <w:bottom w:val="dotted" w:color="auto" w:sz="4" w:space="0"/>
              <w:right w:val="dotted" w:color="auto" w:sz="4" w:space="0"/>
            </w:tcBorders>
            <w:vAlign w:val="center"/>
          </w:tcPr>
          <w:p w14:paraId="35F3A58C">
            <w:pPr>
              <w:spacing w:line="240" w:lineRule="exact"/>
              <w:jc w:val="center"/>
              <w:rPr>
                <w:rFonts w:hint="default" w:ascii="Times New Roman" w:hAnsi="Times New Roman" w:eastAsia="方正黑体简体" w:cs="Times New Roman"/>
                <w:sz w:val="20"/>
                <w:szCs w:val="20"/>
              </w:rPr>
            </w:pPr>
            <w:r>
              <w:rPr>
                <w:rFonts w:hint="default" w:ascii="Times New Roman" w:hAnsi="Times New Roman" w:eastAsia="方正黑体简体" w:cs="Times New Roman"/>
                <w:sz w:val="20"/>
                <w:szCs w:val="20"/>
              </w:rPr>
              <w:t>单位</w:t>
            </w:r>
          </w:p>
        </w:tc>
        <w:tc>
          <w:tcPr>
            <w:tcW w:w="2016" w:type="dxa"/>
            <w:vMerge w:val="restart"/>
            <w:tcBorders>
              <w:top w:val="double" w:color="auto" w:sz="4" w:space="0"/>
              <w:left w:val="dotted" w:color="auto" w:sz="4" w:space="0"/>
              <w:bottom w:val="dotted" w:color="auto" w:sz="4" w:space="0"/>
              <w:right w:val="dotted" w:color="auto" w:sz="4" w:space="0"/>
            </w:tcBorders>
            <w:vAlign w:val="center"/>
          </w:tcPr>
          <w:p w14:paraId="5F22C77F">
            <w:pPr>
              <w:spacing w:line="240" w:lineRule="exact"/>
              <w:jc w:val="center"/>
              <w:rPr>
                <w:rFonts w:hint="default" w:ascii="Times New Roman" w:hAnsi="Times New Roman" w:eastAsia="方正黑体简体" w:cs="Times New Roman"/>
                <w:sz w:val="20"/>
                <w:szCs w:val="20"/>
              </w:rPr>
            </w:pPr>
            <w:r>
              <w:rPr>
                <w:rFonts w:hint="default" w:ascii="Times New Roman" w:hAnsi="Times New Roman" w:eastAsia="方正黑体简体" w:cs="Times New Roman"/>
                <w:sz w:val="20"/>
                <w:szCs w:val="20"/>
              </w:rPr>
              <w:t>年度计划</w:t>
            </w:r>
          </w:p>
        </w:tc>
        <w:tc>
          <w:tcPr>
            <w:tcW w:w="2873" w:type="dxa"/>
            <w:gridSpan w:val="3"/>
            <w:tcBorders>
              <w:top w:val="double" w:color="auto" w:sz="4" w:space="0"/>
              <w:left w:val="dotted" w:color="auto" w:sz="4" w:space="0"/>
              <w:bottom w:val="dotted" w:color="auto" w:sz="4" w:space="0"/>
              <w:right w:val="nil"/>
            </w:tcBorders>
            <w:vAlign w:val="center"/>
          </w:tcPr>
          <w:p w14:paraId="544C3298">
            <w:pPr>
              <w:spacing w:line="240" w:lineRule="exact"/>
              <w:jc w:val="center"/>
              <w:rPr>
                <w:rFonts w:hint="default" w:ascii="Times New Roman" w:hAnsi="Times New Roman" w:eastAsia="方正黑体简体" w:cs="Times New Roman"/>
                <w:sz w:val="20"/>
                <w:szCs w:val="20"/>
              </w:rPr>
            </w:pPr>
            <w:r>
              <w:rPr>
                <w:rFonts w:hint="default" w:ascii="Times New Roman" w:hAnsi="Times New Roman" w:eastAsia="方正黑体简体" w:cs="Times New Roman"/>
                <w:sz w:val="20"/>
                <w:szCs w:val="20"/>
              </w:rPr>
              <w:t>上半年完成情况</w:t>
            </w:r>
          </w:p>
        </w:tc>
      </w:tr>
      <w:tr w14:paraId="4A3CE41A">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blHeader/>
          <w:jc w:val="center"/>
        </w:trPr>
        <w:tc>
          <w:tcPr>
            <w:tcW w:w="687" w:type="dxa"/>
            <w:vMerge w:val="continue"/>
            <w:tcBorders>
              <w:top w:val="dotted" w:color="auto" w:sz="4" w:space="0"/>
              <w:left w:val="nil"/>
              <w:bottom w:val="dotted" w:color="auto" w:sz="4" w:space="0"/>
              <w:right w:val="dotted" w:color="auto" w:sz="4" w:space="0"/>
            </w:tcBorders>
          </w:tcPr>
          <w:p w14:paraId="01FF74F7">
            <w:pPr>
              <w:spacing w:line="240" w:lineRule="exact"/>
              <w:rPr>
                <w:rFonts w:hint="default" w:ascii="Times New Roman" w:hAnsi="Times New Roman" w:eastAsia="方正黑体简体" w:cs="Times New Roman"/>
                <w:sz w:val="20"/>
                <w:szCs w:val="20"/>
              </w:rPr>
            </w:pPr>
          </w:p>
        </w:tc>
        <w:tc>
          <w:tcPr>
            <w:tcW w:w="621" w:type="dxa"/>
            <w:vMerge w:val="continue"/>
            <w:tcBorders>
              <w:top w:val="dotted" w:color="auto" w:sz="4" w:space="0"/>
              <w:left w:val="dotted" w:color="auto" w:sz="4" w:space="0"/>
              <w:bottom w:val="dotted" w:color="auto" w:sz="4" w:space="0"/>
              <w:right w:val="dotted" w:color="auto" w:sz="4" w:space="0"/>
            </w:tcBorders>
          </w:tcPr>
          <w:p w14:paraId="4036EBB1">
            <w:pPr>
              <w:spacing w:line="240" w:lineRule="exact"/>
              <w:jc w:val="center"/>
              <w:rPr>
                <w:rFonts w:hint="default" w:ascii="Times New Roman" w:hAnsi="Times New Roman" w:eastAsia="方正黑体简体" w:cs="Times New Roman"/>
                <w:sz w:val="20"/>
                <w:szCs w:val="20"/>
              </w:rPr>
            </w:pPr>
          </w:p>
        </w:tc>
        <w:tc>
          <w:tcPr>
            <w:tcW w:w="3353" w:type="dxa"/>
            <w:vMerge w:val="continue"/>
            <w:tcBorders>
              <w:top w:val="dotted" w:color="auto" w:sz="4" w:space="0"/>
              <w:left w:val="dotted" w:color="auto" w:sz="4" w:space="0"/>
              <w:bottom w:val="dotted" w:color="auto" w:sz="4" w:space="0"/>
              <w:right w:val="dotted" w:color="auto" w:sz="4" w:space="0"/>
            </w:tcBorders>
          </w:tcPr>
          <w:p w14:paraId="15FCB57B">
            <w:pPr>
              <w:spacing w:line="240" w:lineRule="exact"/>
              <w:rPr>
                <w:rFonts w:hint="default" w:ascii="Times New Roman" w:hAnsi="Times New Roman" w:eastAsia="方正黑体简体" w:cs="Times New Roman"/>
                <w:sz w:val="20"/>
                <w:szCs w:val="20"/>
              </w:rPr>
            </w:pPr>
          </w:p>
        </w:tc>
        <w:tc>
          <w:tcPr>
            <w:tcW w:w="740" w:type="dxa"/>
            <w:vMerge w:val="continue"/>
            <w:tcBorders>
              <w:top w:val="dotted" w:color="auto" w:sz="4" w:space="0"/>
              <w:left w:val="dotted" w:color="auto" w:sz="4" w:space="0"/>
              <w:bottom w:val="dotted" w:color="auto" w:sz="4" w:space="0"/>
              <w:right w:val="dotted" w:color="auto" w:sz="4" w:space="0"/>
            </w:tcBorders>
          </w:tcPr>
          <w:p w14:paraId="1ACAE170">
            <w:pPr>
              <w:spacing w:line="240" w:lineRule="exact"/>
              <w:rPr>
                <w:rFonts w:hint="default" w:ascii="Times New Roman" w:hAnsi="Times New Roman" w:eastAsia="方正黑体简体" w:cs="Times New Roman"/>
                <w:sz w:val="20"/>
                <w:szCs w:val="20"/>
              </w:rPr>
            </w:pPr>
          </w:p>
        </w:tc>
        <w:tc>
          <w:tcPr>
            <w:tcW w:w="2016" w:type="dxa"/>
            <w:vMerge w:val="continue"/>
            <w:tcBorders>
              <w:top w:val="dotted" w:color="auto" w:sz="4" w:space="0"/>
              <w:left w:val="dotted" w:color="auto" w:sz="4" w:space="0"/>
              <w:bottom w:val="dotted" w:color="auto" w:sz="4" w:space="0"/>
              <w:right w:val="dotted" w:color="auto" w:sz="4" w:space="0"/>
            </w:tcBorders>
          </w:tcPr>
          <w:p w14:paraId="7437508A">
            <w:pPr>
              <w:spacing w:line="240" w:lineRule="exact"/>
              <w:rPr>
                <w:rFonts w:hint="default" w:ascii="Times New Roman" w:hAnsi="Times New Roman" w:eastAsia="方正黑体简体" w:cs="Times New Roman"/>
                <w:sz w:val="20"/>
                <w:szCs w:val="20"/>
              </w:rPr>
            </w:pPr>
          </w:p>
        </w:tc>
        <w:tc>
          <w:tcPr>
            <w:tcW w:w="819" w:type="dxa"/>
            <w:tcBorders>
              <w:top w:val="dotted" w:color="auto" w:sz="4" w:space="0"/>
              <w:left w:val="dotted" w:color="auto" w:sz="4" w:space="0"/>
              <w:bottom w:val="dotted" w:color="auto" w:sz="4" w:space="0"/>
              <w:right w:val="dotted" w:color="auto" w:sz="4" w:space="0"/>
            </w:tcBorders>
            <w:vAlign w:val="center"/>
          </w:tcPr>
          <w:p w14:paraId="0919A995">
            <w:pPr>
              <w:spacing w:line="240" w:lineRule="exact"/>
              <w:jc w:val="center"/>
              <w:rPr>
                <w:rFonts w:hint="default" w:ascii="Times New Roman" w:hAnsi="Times New Roman" w:eastAsia="方正黑体简体" w:cs="Times New Roman"/>
                <w:sz w:val="20"/>
                <w:szCs w:val="20"/>
              </w:rPr>
            </w:pPr>
            <w:r>
              <w:rPr>
                <w:rFonts w:hint="default" w:ascii="Times New Roman" w:hAnsi="Times New Roman" w:eastAsia="方正黑体简体" w:cs="Times New Roman"/>
                <w:sz w:val="20"/>
                <w:szCs w:val="20"/>
              </w:rPr>
              <w:t>实绩</w:t>
            </w:r>
          </w:p>
        </w:tc>
        <w:tc>
          <w:tcPr>
            <w:tcW w:w="1134" w:type="dxa"/>
            <w:tcBorders>
              <w:top w:val="dotted" w:color="auto" w:sz="4" w:space="0"/>
              <w:left w:val="dotted" w:color="auto" w:sz="4" w:space="0"/>
              <w:bottom w:val="dotted" w:color="auto" w:sz="4" w:space="0"/>
              <w:right w:val="dotted" w:color="auto" w:sz="4" w:space="0"/>
            </w:tcBorders>
            <w:vAlign w:val="center"/>
          </w:tcPr>
          <w:p w14:paraId="388B7EE3">
            <w:pPr>
              <w:spacing w:line="240" w:lineRule="exact"/>
              <w:jc w:val="center"/>
              <w:rPr>
                <w:rFonts w:hint="default" w:ascii="Times New Roman" w:hAnsi="Times New Roman" w:eastAsia="方正黑体简体" w:cs="Times New Roman"/>
                <w:sz w:val="20"/>
                <w:szCs w:val="20"/>
              </w:rPr>
            </w:pPr>
            <w:r>
              <w:rPr>
                <w:rFonts w:hint="default" w:ascii="Times New Roman" w:hAnsi="Times New Roman" w:eastAsia="方正黑体简体" w:cs="Times New Roman"/>
                <w:sz w:val="20"/>
                <w:szCs w:val="20"/>
              </w:rPr>
              <w:t>增幅（%）</w:t>
            </w:r>
          </w:p>
        </w:tc>
        <w:tc>
          <w:tcPr>
            <w:tcW w:w="920" w:type="dxa"/>
            <w:tcBorders>
              <w:top w:val="dotted" w:color="auto" w:sz="4" w:space="0"/>
              <w:left w:val="dotted" w:color="auto" w:sz="4" w:space="0"/>
              <w:bottom w:val="dotted" w:color="auto" w:sz="4" w:space="0"/>
              <w:right w:val="nil"/>
            </w:tcBorders>
            <w:vAlign w:val="center"/>
          </w:tcPr>
          <w:p w14:paraId="5A8FA86C">
            <w:pPr>
              <w:spacing w:line="240" w:lineRule="exact"/>
              <w:jc w:val="center"/>
              <w:rPr>
                <w:rFonts w:hint="default" w:ascii="Times New Roman" w:hAnsi="Times New Roman" w:eastAsia="方正黑体简体" w:cs="Times New Roman"/>
                <w:sz w:val="20"/>
                <w:szCs w:val="20"/>
              </w:rPr>
            </w:pPr>
            <w:r>
              <w:rPr>
                <w:rFonts w:hint="default" w:ascii="Times New Roman" w:hAnsi="Times New Roman" w:eastAsia="方正黑体简体" w:cs="Times New Roman"/>
                <w:sz w:val="20"/>
                <w:szCs w:val="20"/>
              </w:rPr>
              <w:t>是否</w:t>
            </w:r>
          </w:p>
          <w:p w14:paraId="543D2EE5">
            <w:pPr>
              <w:spacing w:line="240" w:lineRule="exact"/>
              <w:jc w:val="center"/>
              <w:rPr>
                <w:rFonts w:hint="default" w:ascii="Times New Roman" w:hAnsi="Times New Roman" w:eastAsia="方正黑体简体" w:cs="Times New Roman"/>
                <w:sz w:val="20"/>
                <w:szCs w:val="20"/>
              </w:rPr>
            </w:pPr>
            <w:r>
              <w:rPr>
                <w:rFonts w:hint="default" w:ascii="Times New Roman" w:hAnsi="Times New Roman" w:eastAsia="方正黑体简体" w:cs="Times New Roman"/>
                <w:sz w:val="20"/>
                <w:szCs w:val="20"/>
              </w:rPr>
              <w:t>达进度</w:t>
            </w:r>
          </w:p>
        </w:tc>
      </w:tr>
      <w:tr w14:paraId="0B00B514">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restart"/>
            <w:tcBorders>
              <w:top w:val="dotted" w:color="auto" w:sz="4" w:space="0"/>
              <w:left w:val="nil"/>
              <w:right w:val="dotted" w:color="auto" w:sz="4" w:space="0"/>
            </w:tcBorders>
            <w:vAlign w:val="center"/>
          </w:tcPr>
          <w:p w14:paraId="1D079C47">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经济发展</w:t>
            </w:r>
          </w:p>
        </w:tc>
        <w:tc>
          <w:tcPr>
            <w:tcW w:w="621" w:type="dxa"/>
            <w:tcBorders>
              <w:top w:val="dotted" w:color="auto" w:sz="4" w:space="0"/>
              <w:left w:val="dotted" w:color="auto" w:sz="4" w:space="0"/>
              <w:bottom w:val="dotted" w:color="auto" w:sz="4" w:space="0"/>
              <w:right w:val="dotted" w:color="auto" w:sz="4" w:space="0"/>
            </w:tcBorders>
            <w:vAlign w:val="center"/>
          </w:tcPr>
          <w:p w14:paraId="480319A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w:t>
            </w:r>
          </w:p>
        </w:tc>
        <w:tc>
          <w:tcPr>
            <w:tcW w:w="3353" w:type="dxa"/>
            <w:tcBorders>
              <w:top w:val="dotted" w:color="auto" w:sz="4" w:space="0"/>
              <w:left w:val="dotted" w:color="auto" w:sz="4" w:space="0"/>
              <w:bottom w:val="dotted" w:color="auto" w:sz="4" w:space="0"/>
              <w:right w:val="dotted" w:color="auto" w:sz="4" w:space="0"/>
            </w:tcBorders>
            <w:vAlign w:val="center"/>
          </w:tcPr>
          <w:p w14:paraId="39FCB912">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地区生产总值</w:t>
            </w:r>
          </w:p>
        </w:tc>
        <w:tc>
          <w:tcPr>
            <w:tcW w:w="740" w:type="dxa"/>
            <w:tcBorders>
              <w:top w:val="dotted" w:color="auto" w:sz="4" w:space="0"/>
              <w:left w:val="dotted" w:color="auto" w:sz="4" w:space="0"/>
              <w:bottom w:val="dotted" w:color="auto" w:sz="4" w:space="0"/>
              <w:right w:val="dotted" w:color="auto" w:sz="4" w:space="0"/>
            </w:tcBorders>
            <w:vAlign w:val="center"/>
          </w:tcPr>
          <w:p w14:paraId="2F54BC5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亿元</w:t>
            </w:r>
          </w:p>
        </w:tc>
        <w:tc>
          <w:tcPr>
            <w:tcW w:w="2016" w:type="dxa"/>
            <w:tcBorders>
              <w:top w:val="dotted" w:color="auto" w:sz="4" w:space="0"/>
              <w:left w:val="dotted" w:color="auto" w:sz="4" w:space="0"/>
              <w:bottom w:val="dotted" w:color="auto" w:sz="4" w:space="0"/>
              <w:right w:val="dotted" w:color="auto" w:sz="4" w:space="0"/>
            </w:tcBorders>
            <w:vAlign w:val="center"/>
          </w:tcPr>
          <w:p w14:paraId="60CAE09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增长6%左右</w:t>
            </w:r>
          </w:p>
        </w:tc>
        <w:tc>
          <w:tcPr>
            <w:tcW w:w="819" w:type="dxa"/>
            <w:tcBorders>
              <w:top w:val="dotted" w:color="auto" w:sz="4" w:space="0"/>
              <w:left w:val="dotted" w:color="auto" w:sz="4" w:space="0"/>
              <w:bottom w:val="dotted" w:color="auto" w:sz="4" w:space="0"/>
              <w:right w:val="dotted" w:color="auto" w:sz="4" w:space="0"/>
            </w:tcBorders>
            <w:vAlign w:val="center"/>
          </w:tcPr>
          <w:p w14:paraId="6216485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298.4</w:t>
            </w:r>
          </w:p>
        </w:tc>
        <w:tc>
          <w:tcPr>
            <w:tcW w:w="1134" w:type="dxa"/>
            <w:tcBorders>
              <w:top w:val="dotted" w:color="auto" w:sz="4" w:space="0"/>
              <w:left w:val="dotted" w:color="auto" w:sz="4" w:space="0"/>
              <w:bottom w:val="dotted" w:color="auto" w:sz="4" w:space="0"/>
              <w:right w:val="dotted" w:color="auto" w:sz="4" w:space="0"/>
            </w:tcBorders>
            <w:vAlign w:val="center"/>
          </w:tcPr>
          <w:p w14:paraId="0BE2CCEA">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6.2</w:t>
            </w:r>
          </w:p>
        </w:tc>
        <w:tc>
          <w:tcPr>
            <w:tcW w:w="920" w:type="dxa"/>
            <w:tcBorders>
              <w:top w:val="dotted" w:color="auto" w:sz="4" w:space="0"/>
              <w:left w:val="dotted" w:color="auto" w:sz="4" w:space="0"/>
              <w:bottom w:val="dotted" w:color="auto" w:sz="4" w:space="0"/>
              <w:right w:val="nil"/>
            </w:tcBorders>
            <w:vAlign w:val="center"/>
          </w:tcPr>
          <w:p w14:paraId="16DBD82B">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61447A03">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continue"/>
            <w:tcBorders>
              <w:left w:val="nil"/>
              <w:right w:val="dotted" w:color="auto" w:sz="4" w:space="0"/>
            </w:tcBorders>
            <w:vAlign w:val="center"/>
          </w:tcPr>
          <w:p w14:paraId="352F705F">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77F6B78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w:t>
            </w:r>
          </w:p>
        </w:tc>
        <w:tc>
          <w:tcPr>
            <w:tcW w:w="3353" w:type="dxa"/>
            <w:tcBorders>
              <w:top w:val="dotted" w:color="auto" w:sz="4" w:space="0"/>
              <w:left w:val="dotted" w:color="auto" w:sz="4" w:space="0"/>
              <w:bottom w:val="dotted" w:color="auto" w:sz="4" w:space="0"/>
              <w:right w:val="dotted" w:color="auto" w:sz="4" w:space="0"/>
            </w:tcBorders>
            <w:vAlign w:val="center"/>
          </w:tcPr>
          <w:p w14:paraId="4EEB15F9">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全社会固定资产投资</w:t>
            </w:r>
          </w:p>
        </w:tc>
        <w:tc>
          <w:tcPr>
            <w:tcW w:w="740" w:type="dxa"/>
            <w:tcBorders>
              <w:top w:val="dotted" w:color="auto" w:sz="4" w:space="0"/>
              <w:left w:val="dotted" w:color="auto" w:sz="4" w:space="0"/>
              <w:bottom w:val="dotted" w:color="auto" w:sz="4" w:space="0"/>
              <w:right w:val="dotted" w:color="auto" w:sz="4" w:space="0"/>
            </w:tcBorders>
            <w:vAlign w:val="center"/>
          </w:tcPr>
          <w:p w14:paraId="2BB6D530">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亿元</w:t>
            </w:r>
          </w:p>
        </w:tc>
        <w:tc>
          <w:tcPr>
            <w:tcW w:w="2016" w:type="dxa"/>
            <w:tcBorders>
              <w:top w:val="dotted" w:color="auto" w:sz="4" w:space="0"/>
              <w:left w:val="dotted" w:color="auto" w:sz="4" w:space="0"/>
              <w:bottom w:val="dotted" w:color="auto" w:sz="4" w:space="0"/>
              <w:right w:val="dotted" w:color="auto" w:sz="4" w:space="0"/>
            </w:tcBorders>
            <w:vAlign w:val="center"/>
          </w:tcPr>
          <w:p w14:paraId="201D6336">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增长6%</w:t>
            </w:r>
          </w:p>
        </w:tc>
        <w:tc>
          <w:tcPr>
            <w:tcW w:w="819" w:type="dxa"/>
            <w:tcBorders>
              <w:top w:val="dotted" w:color="auto" w:sz="4" w:space="0"/>
              <w:left w:val="dotted" w:color="auto" w:sz="4" w:space="0"/>
              <w:bottom w:val="dotted" w:color="auto" w:sz="4" w:space="0"/>
              <w:right w:val="dotted" w:color="auto" w:sz="4" w:space="0"/>
            </w:tcBorders>
            <w:vAlign w:val="center"/>
          </w:tcPr>
          <w:p w14:paraId="2273E11E">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1134" w:type="dxa"/>
            <w:tcBorders>
              <w:top w:val="dotted" w:color="auto" w:sz="4" w:space="0"/>
              <w:left w:val="dotted" w:color="auto" w:sz="4" w:space="0"/>
              <w:bottom w:val="dotted" w:color="auto" w:sz="4" w:space="0"/>
              <w:right w:val="dotted" w:color="auto" w:sz="4" w:space="0"/>
            </w:tcBorders>
            <w:vAlign w:val="center"/>
          </w:tcPr>
          <w:p w14:paraId="528FEED9">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-1.3</w:t>
            </w:r>
          </w:p>
        </w:tc>
        <w:tc>
          <w:tcPr>
            <w:tcW w:w="920" w:type="dxa"/>
            <w:tcBorders>
              <w:top w:val="dotted" w:color="auto" w:sz="4" w:space="0"/>
              <w:left w:val="dotted" w:color="auto" w:sz="4" w:space="0"/>
              <w:bottom w:val="dotted" w:color="auto" w:sz="4" w:space="0"/>
              <w:right w:val="nil"/>
            </w:tcBorders>
            <w:vAlign w:val="center"/>
          </w:tcPr>
          <w:p w14:paraId="76CAE87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否</w:t>
            </w:r>
          </w:p>
        </w:tc>
      </w:tr>
      <w:tr w14:paraId="75815E99">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continue"/>
            <w:tcBorders>
              <w:left w:val="nil"/>
              <w:right w:val="dotted" w:color="auto" w:sz="4" w:space="0"/>
            </w:tcBorders>
            <w:vAlign w:val="center"/>
          </w:tcPr>
          <w:p w14:paraId="1B09B735">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5EC6383B">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3</w:t>
            </w:r>
          </w:p>
        </w:tc>
        <w:tc>
          <w:tcPr>
            <w:tcW w:w="3353" w:type="dxa"/>
            <w:tcBorders>
              <w:top w:val="dotted" w:color="auto" w:sz="4" w:space="0"/>
              <w:left w:val="dotted" w:color="auto" w:sz="4" w:space="0"/>
              <w:bottom w:val="dotted" w:color="auto" w:sz="4" w:space="0"/>
              <w:right w:val="dotted" w:color="auto" w:sz="4" w:space="0"/>
            </w:tcBorders>
            <w:vAlign w:val="center"/>
          </w:tcPr>
          <w:p w14:paraId="75681050">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社会消费品零售总额</w:t>
            </w:r>
          </w:p>
        </w:tc>
        <w:tc>
          <w:tcPr>
            <w:tcW w:w="740" w:type="dxa"/>
            <w:tcBorders>
              <w:top w:val="dotted" w:color="auto" w:sz="4" w:space="0"/>
              <w:left w:val="dotted" w:color="auto" w:sz="4" w:space="0"/>
              <w:bottom w:val="dotted" w:color="auto" w:sz="4" w:space="0"/>
              <w:right w:val="dotted" w:color="auto" w:sz="4" w:space="0"/>
            </w:tcBorders>
            <w:vAlign w:val="center"/>
          </w:tcPr>
          <w:p w14:paraId="3446C7F2">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亿元</w:t>
            </w:r>
          </w:p>
        </w:tc>
        <w:tc>
          <w:tcPr>
            <w:tcW w:w="2016" w:type="dxa"/>
            <w:tcBorders>
              <w:top w:val="dotted" w:color="auto" w:sz="4" w:space="0"/>
              <w:left w:val="dotted" w:color="auto" w:sz="4" w:space="0"/>
              <w:bottom w:val="dotted" w:color="auto" w:sz="4" w:space="0"/>
              <w:right w:val="dotted" w:color="auto" w:sz="4" w:space="0"/>
            </w:tcBorders>
            <w:vAlign w:val="center"/>
          </w:tcPr>
          <w:p w14:paraId="1A71648F">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增长6%</w:t>
            </w:r>
          </w:p>
        </w:tc>
        <w:tc>
          <w:tcPr>
            <w:tcW w:w="819" w:type="dxa"/>
            <w:tcBorders>
              <w:top w:val="dotted" w:color="auto" w:sz="4" w:space="0"/>
              <w:left w:val="dotted" w:color="auto" w:sz="4" w:space="0"/>
              <w:bottom w:val="dotted" w:color="auto" w:sz="4" w:space="0"/>
              <w:right w:val="dotted" w:color="auto" w:sz="4" w:space="0"/>
            </w:tcBorders>
            <w:vAlign w:val="center"/>
          </w:tcPr>
          <w:p w14:paraId="0B2B8D0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193.7</w:t>
            </w:r>
          </w:p>
        </w:tc>
        <w:tc>
          <w:tcPr>
            <w:tcW w:w="1134" w:type="dxa"/>
            <w:tcBorders>
              <w:top w:val="dotted" w:color="auto" w:sz="4" w:space="0"/>
              <w:left w:val="dotted" w:color="auto" w:sz="4" w:space="0"/>
              <w:bottom w:val="dotted" w:color="auto" w:sz="4" w:space="0"/>
              <w:right w:val="dotted" w:color="auto" w:sz="4" w:space="0"/>
            </w:tcBorders>
            <w:vAlign w:val="center"/>
          </w:tcPr>
          <w:p w14:paraId="20CE1F89">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12.7</w:t>
            </w:r>
          </w:p>
        </w:tc>
        <w:tc>
          <w:tcPr>
            <w:tcW w:w="920" w:type="dxa"/>
            <w:tcBorders>
              <w:top w:val="dotted" w:color="auto" w:sz="4" w:space="0"/>
              <w:left w:val="dotted" w:color="auto" w:sz="4" w:space="0"/>
              <w:bottom w:val="dotted" w:color="auto" w:sz="4" w:space="0"/>
              <w:right w:val="nil"/>
            </w:tcBorders>
            <w:vAlign w:val="center"/>
          </w:tcPr>
          <w:p w14:paraId="1E9C8404">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50B6D627">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continue"/>
            <w:tcBorders>
              <w:left w:val="nil"/>
              <w:right w:val="dotted" w:color="auto" w:sz="4" w:space="0"/>
            </w:tcBorders>
          </w:tcPr>
          <w:p w14:paraId="7F1708EB">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31BE0A9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4</w:t>
            </w:r>
          </w:p>
        </w:tc>
        <w:tc>
          <w:tcPr>
            <w:tcW w:w="3353" w:type="dxa"/>
            <w:tcBorders>
              <w:top w:val="dotted" w:color="auto" w:sz="4" w:space="0"/>
              <w:left w:val="dotted" w:color="auto" w:sz="4" w:space="0"/>
              <w:bottom w:val="dotted" w:color="auto" w:sz="4" w:space="0"/>
              <w:right w:val="dotted" w:color="auto" w:sz="4" w:space="0"/>
            </w:tcBorders>
            <w:vAlign w:val="center"/>
          </w:tcPr>
          <w:p w14:paraId="62A9405C">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外贸进出口总额</w:t>
            </w:r>
          </w:p>
        </w:tc>
        <w:tc>
          <w:tcPr>
            <w:tcW w:w="740" w:type="dxa"/>
            <w:tcBorders>
              <w:top w:val="dotted" w:color="auto" w:sz="4" w:space="0"/>
              <w:left w:val="dotted" w:color="auto" w:sz="4" w:space="0"/>
              <w:bottom w:val="dotted" w:color="auto" w:sz="4" w:space="0"/>
              <w:right w:val="dotted" w:color="auto" w:sz="4" w:space="0"/>
            </w:tcBorders>
            <w:vAlign w:val="center"/>
          </w:tcPr>
          <w:p w14:paraId="1216ECC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亿元</w:t>
            </w:r>
          </w:p>
        </w:tc>
        <w:tc>
          <w:tcPr>
            <w:tcW w:w="2016" w:type="dxa"/>
            <w:tcBorders>
              <w:top w:val="dotted" w:color="auto" w:sz="4" w:space="0"/>
              <w:left w:val="dotted" w:color="auto" w:sz="4" w:space="0"/>
              <w:bottom w:val="dotted" w:color="auto" w:sz="4" w:space="0"/>
              <w:right w:val="dotted" w:color="auto" w:sz="4" w:space="0"/>
            </w:tcBorders>
            <w:vAlign w:val="center"/>
          </w:tcPr>
          <w:p w14:paraId="14866297">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增长3.5%</w:t>
            </w:r>
          </w:p>
        </w:tc>
        <w:tc>
          <w:tcPr>
            <w:tcW w:w="819" w:type="dxa"/>
            <w:tcBorders>
              <w:top w:val="dotted" w:color="auto" w:sz="4" w:space="0"/>
              <w:left w:val="dotted" w:color="auto" w:sz="4" w:space="0"/>
              <w:bottom w:val="dotted" w:color="auto" w:sz="4" w:space="0"/>
              <w:right w:val="dotted" w:color="auto" w:sz="4" w:space="0"/>
            </w:tcBorders>
            <w:vAlign w:val="center"/>
          </w:tcPr>
          <w:p w14:paraId="0280FB99">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42.8</w:t>
            </w:r>
          </w:p>
        </w:tc>
        <w:tc>
          <w:tcPr>
            <w:tcW w:w="1134" w:type="dxa"/>
            <w:tcBorders>
              <w:top w:val="dotted" w:color="auto" w:sz="4" w:space="0"/>
              <w:left w:val="dotted" w:color="auto" w:sz="4" w:space="0"/>
              <w:bottom w:val="dotted" w:color="auto" w:sz="4" w:space="0"/>
              <w:right w:val="dotted" w:color="auto" w:sz="4" w:space="0"/>
            </w:tcBorders>
            <w:vAlign w:val="center"/>
          </w:tcPr>
          <w:p w14:paraId="2940CDA9">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21.7</w:t>
            </w:r>
          </w:p>
        </w:tc>
        <w:tc>
          <w:tcPr>
            <w:tcW w:w="920" w:type="dxa"/>
            <w:tcBorders>
              <w:top w:val="dotted" w:color="auto" w:sz="4" w:space="0"/>
              <w:left w:val="dotted" w:color="auto" w:sz="4" w:space="0"/>
              <w:bottom w:val="dotted" w:color="auto" w:sz="4" w:space="0"/>
              <w:right w:val="nil"/>
            </w:tcBorders>
            <w:vAlign w:val="center"/>
          </w:tcPr>
          <w:p w14:paraId="361EA54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44E76E85">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continue"/>
            <w:tcBorders>
              <w:left w:val="nil"/>
              <w:right w:val="dotted" w:color="auto" w:sz="4" w:space="0"/>
            </w:tcBorders>
          </w:tcPr>
          <w:p w14:paraId="114275B4">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3DAA4492">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5</w:t>
            </w:r>
          </w:p>
        </w:tc>
        <w:tc>
          <w:tcPr>
            <w:tcW w:w="3353" w:type="dxa"/>
            <w:tcBorders>
              <w:top w:val="dotted" w:color="auto" w:sz="4" w:space="0"/>
              <w:left w:val="dotted" w:color="auto" w:sz="4" w:space="0"/>
              <w:bottom w:val="dotted" w:color="auto" w:sz="4" w:space="0"/>
              <w:right w:val="dotted" w:color="auto" w:sz="4" w:space="0"/>
            </w:tcBorders>
            <w:vAlign w:val="center"/>
          </w:tcPr>
          <w:p w14:paraId="48156822">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实际利用外资</w:t>
            </w:r>
          </w:p>
        </w:tc>
        <w:tc>
          <w:tcPr>
            <w:tcW w:w="740" w:type="dxa"/>
            <w:tcBorders>
              <w:top w:val="dotted" w:color="auto" w:sz="4" w:space="0"/>
              <w:left w:val="dotted" w:color="auto" w:sz="4" w:space="0"/>
              <w:bottom w:val="dotted" w:color="auto" w:sz="4" w:space="0"/>
              <w:right w:val="dotted" w:color="auto" w:sz="4" w:space="0"/>
            </w:tcBorders>
            <w:vAlign w:val="center"/>
          </w:tcPr>
          <w:p w14:paraId="7848CB0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万美元</w:t>
            </w:r>
          </w:p>
        </w:tc>
        <w:tc>
          <w:tcPr>
            <w:tcW w:w="2016" w:type="dxa"/>
            <w:tcBorders>
              <w:top w:val="dotted" w:color="auto" w:sz="4" w:space="0"/>
              <w:left w:val="dotted" w:color="auto" w:sz="4" w:space="0"/>
              <w:bottom w:val="dotted" w:color="auto" w:sz="4" w:space="0"/>
              <w:right w:val="dotted" w:color="auto" w:sz="4" w:space="0"/>
            </w:tcBorders>
            <w:vAlign w:val="center"/>
          </w:tcPr>
          <w:p w14:paraId="1BA27E60">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27000</w:t>
            </w:r>
          </w:p>
        </w:tc>
        <w:tc>
          <w:tcPr>
            <w:tcW w:w="819" w:type="dxa"/>
            <w:tcBorders>
              <w:top w:val="dotted" w:color="auto" w:sz="4" w:space="0"/>
              <w:left w:val="dotted" w:color="auto" w:sz="4" w:space="0"/>
              <w:bottom w:val="dotted" w:color="auto" w:sz="4" w:space="0"/>
              <w:right w:val="dotted" w:color="auto" w:sz="4" w:space="0"/>
            </w:tcBorders>
            <w:vAlign w:val="center"/>
          </w:tcPr>
          <w:p w14:paraId="43D6FBD2">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3721</w:t>
            </w:r>
          </w:p>
        </w:tc>
        <w:tc>
          <w:tcPr>
            <w:tcW w:w="1134" w:type="dxa"/>
            <w:tcBorders>
              <w:top w:val="dotted" w:color="auto" w:sz="4" w:space="0"/>
              <w:left w:val="dotted" w:color="auto" w:sz="4" w:space="0"/>
              <w:bottom w:val="dotted" w:color="auto" w:sz="4" w:space="0"/>
              <w:right w:val="dotted" w:color="auto" w:sz="4" w:space="0"/>
            </w:tcBorders>
            <w:vAlign w:val="center"/>
          </w:tcPr>
          <w:p w14:paraId="2987840D">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4EE1BB9E">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否</w:t>
            </w:r>
          </w:p>
        </w:tc>
      </w:tr>
      <w:tr w14:paraId="31FE8E3F">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exact"/>
          <w:jc w:val="center"/>
        </w:trPr>
        <w:tc>
          <w:tcPr>
            <w:tcW w:w="687" w:type="dxa"/>
            <w:vMerge w:val="continue"/>
            <w:tcBorders>
              <w:left w:val="nil"/>
              <w:right w:val="dotted" w:color="auto" w:sz="4" w:space="0"/>
            </w:tcBorders>
          </w:tcPr>
          <w:p w14:paraId="7D87C126">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5C09D107">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6</w:t>
            </w:r>
          </w:p>
        </w:tc>
        <w:tc>
          <w:tcPr>
            <w:tcW w:w="3353" w:type="dxa"/>
            <w:tcBorders>
              <w:top w:val="dotted" w:color="auto" w:sz="4" w:space="0"/>
              <w:left w:val="dotted" w:color="auto" w:sz="4" w:space="0"/>
              <w:bottom w:val="dotted" w:color="auto" w:sz="4" w:space="0"/>
              <w:right w:val="dotted" w:color="auto" w:sz="4" w:space="0"/>
            </w:tcBorders>
            <w:vAlign w:val="center"/>
          </w:tcPr>
          <w:p w14:paraId="7FA4EE0E">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一般公共预算收入</w:t>
            </w:r>
          </w:p>
        </w:tc>
        <w:tc>
          <w:tcPr>
            <w:tcW w:w="740" w:type="dxa"/>
            <w:tcBorders>
              <w:top w:val="dotted" w:color="auto" w:sz="4" w:space="0"/>
              <w:left w:val="dotted" w:color="auto" w:sz="4" w:space="0"/>
              <w:bottom w:val="dotted" w:color="auto" w:sz="4" w:space="0"/>
              <w:right w:val="dotted" w:color="auto" w:sz="4" w:space="0"/>
            </w:tcBorders>
            <w:vAlign w:val="center"/>
          </w:tcPr>
          <w:p w14:paraId="754D7A3B">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亿元</w:t>
            </w:r>
          </w:p>
        </w:tc>
        <w:tc>
          <w:tcPr>
            <w:tcW w:w="2016" w:type="dxa"/>
            <w:tcBorders>
              <w:top w:val="dotted" w:color="auto" w:sz="4" w:space="0"/>
              <w:left w:val="dotted" w:color="auto" w:sz="4" w:space="0"/>
              <w:bottom w:val="dotted" w:color="auto" w:sz="4" w:space="0"/>
              <w:right w:val="dotted" w:color="auto" w:sz="4" w:space="0"/>
            </w:tcBorders>
            <w:vAlign w:val="center"/>
          </w:tcPr>
          <w:p w14:paraId="3857200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增长6%左右</w:t>
            </w:r>
          </w:p>
        </w:tc>
        <w:tc>
          <w:tcPr>
            <w:tcW w:w="819" w:type="dxa"/>
            <w:tcBorders>
              <w:top w:val="dotted" w:color="auto" w:sz="4" w:space="0"/>
              <w:left w:val="dotted" w:color="auto" w:sz="4" w:space="0"/>
              <w:bottom w:val="dotted" w:color="auto" w:sz="4" w:space="0"/>
              <w:right w:val="dotted" w:color="auto" w:sz="4" w:space="0"/>
            </w:tcBorders>
            <w:vAlign w:val="center"/>
          </w:tcPr>
          <w:p w14:paraId="01753485">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28.08</w:t>
            </w:r>
          </w:p>
        </w:tc>
        <w:tc>
          <w:tcPr>
            <w:tcW w:w="1134" w:type="dxa"/>
            <w:tcBorders>
              <w:top w:val="dotted" w:color="auto" w:sz="4" w:space="0"/>
              <w:left w:val="dotted" w:color="auto" w:sz="4" w:space="0"/>
              <w:bottom w:val="dotted" w:color="auto" w:sz="4" w:space="0"/>
              <w:right w:val="dotted" w:color="auto" w:sz="4" w:space="0"/>
            </w:tcBorders>
            <w:vAlign w:val="center"/>
          </w:tcPr>
          <w:p w14:paraId="7497200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增速5.1</w:t>
            </w:r>
          </w:p>
          <w:p w14:paraId="086C82B9">
            <w:pPr>
              <w:pStyle w:val="2"/>
              <w:ind w:left="0" w:leftChars="0" w:firstLine="0"/>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进度52.9</w:t>
            </w:r>
          </w:p>
        </w:tc>
        <w:tc>
          <w:tcPr>
            <w:tcW w:w="920" w:type="dxa"/>
            <w:tcBorders>
              <w:top w:val="dotted" w:color="auto" w:sz="4" w:space="0"/>
              <w:left w:val="dotted" w:color="auto" w:sz="4" w:space="0"/>
              <w:bottom w:val="dotted" w:color="auto" w:sz="4" w:space="0"/>
              <w:right w:val="nil"/>
            </w:tcBorders>
            <w:vAlign w:val="center"/>
          </w:tcPr>
          <w:p w14:paraId="45DFB3B9">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411A8D2A">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exact"/>
          <w:jc w:val="center"/>
        </w:trPr>
        <w:tc>
          <w:tcPr>
            <w:tcW w:w="687" w:type="dxa"/>
            <w:vMerge w:val="restart"/>
            <w:tcBorders>
              <w:top w:val="dotted" w:color="auto" w:sz="4" w:space="0"/>
              <w:left w:val="nil"/>
              <w:right w:val="dotted" w:color="auto" w:sz="4" w:space="0"/>
            </w:tcBorders>
            <w:vAlign w:val="center"/>
          </w:tcPr>
          <w:p w14:paraId="0DA3D45E">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产业强区</w:t>
            </w:r>
          </w:p>
        </w:tc>
        <w:tc>
          <w:tcPr>
            <w:tcW w:w="621" w:type="dxa"/>
            <w:tcBorders>
              <w:top w:val="dotted" w:color="auto" w:sz="4" w:space="0"/>
              <w:left w:val="dotted" w:color="auto" w:sz="4" w:space="0"/>
              <w:bottom w:val="dotted" w:color="auto" w:sz="4" w:space="0"/>
              <w:right w:val="dotted" w:color="auto" w:sz="4" w:space="0"/>
            </w:tcBorders>
            <w:vAlign w:val="center"/>
          </w:tcPr>
          <w:p w14:paraId="6116C694">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7</w:t>
            </w:r>
          </w:p>
        </w:tc>
        <w:tc>
          <w:tcPr>
            <w:tcW w:w="3353" w:type="dxa"/>
            <w:tcBorders>
              <w:top w:val="dotted" w:color="auto" w:sz="4" w:space="0"/>
              <w:left w:val="dotted" w:color="auto" w:sz="4" w:space="0"/>
              <w:bottom w:val="dotted" w:color="auto" w:sz="4" w:space="0"/>
              <w:right w:val="dotted" w:color="auto" w:sz="4" w:space="0"/>
            </w:tcBorders>
            <w:vAlign w:val="center"/>
          </w:tcPr>
          <w:p w14:paraId="41CD10F4">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制造业增加值占地区生产总值比重</w:t>
            </w:r>
          </w:p>
        </w:tc>
        <w:tc>
          <w:tcPr>
            <w:tcW w:w="740" w:type="dxa"/>
            <w:tcBorders>
              <w:top w:val="dotted" w:color="auto" w:sz="4" w:space="0"/>
              <w:left w:val="dotted" w:color="auto" w:sz="4" w:space="0"/>
              <w:bottom w:val="dotted" w:color="auto" w:sz="4" w:space="0"/>
              <w:right w:val="dotted" w:color="auto" w:sz="4" w:space="0"/>
            </w:tcBorders>
            <w:vAlign w:val="center"/>
          </w:tcPr>
          <w:p w14:paraId="73103DC6">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511ECCAA">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32</w:t>
            </w:r>
          </w:p>
        </w:tc>
        <w:tc>
          <w:tcPr>
            <w:tcW w:w="819" w:type="dxa"/>
            <w:tcBorders>
              <w:top w:val="dotted" w:color="auto" w:sz="4" w:space="0"/>
              <w:left w:val="dotted" w:color="auto" w:sz="4" w:space="0"/>
              <w:bottom w:val="dotted" w:color="auto" w:sz="4" w:space="0"/>
              <w:right w:val="dotted" w:color="auto" w:sz="4" w:space="0"/>
            </w:tcBorders>
            <w:vAlign w:val="center"/>
          </w:tcPr>
          <w:p w14:paraId="259E79CA">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32</w:t>
            </w:r>
          </w:p>
        </w:tc>
        <w:tc>
          <w:tcPr>
            <w:tcW w:w="1134" w:type="dxa"/>
            <w:tcBorders>
              <w:top w:val="dotted" w:color="auto" w:sz="4" w:space="0"/>
              <w:left w:val="dotted" w:color="auto" w:sz="4" w:space="0"/>
              <w:bottom w:val="dotted" w:color="auto" w:sz="4" w:space="0"/>
              <w:right w:val="dotted" w:color="auto" w:sz="4" w:space="0"/>
            </w:tcBorders>
            <w:vAlign w:val="center"/>
          </w:tcPr>
          <w:p w14:paraId="4BB300AA">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2D2D6222">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51FD5E07">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exact"/>
          <w:jc w:val="center"/>
        </w:trPr>
        <w:tc>
          <w:tcPr>
            <w:tcW w:w="687" w:type="dxa"/>
            <w:vMerge w:val="continue"/>
            <w:tcBorders>
              <w:left w:val="nil"/>
              <w:right w:val="dotted" w:color="auto" w:sz="4" w:space="0"/>
            </w:tcBorders>
          </w:tcPr>
          <w:p w14:paraId="32A663CB">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344F2CED">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8</w:t>
            </w:r>
          </w:p>
        </w:tc>
        <w:tc>
          <w:tcPr>
            <w:tcW w:w="3353" w:type="dxa"/>
            <w:tcBorders>
              <w:top w:val="dotted" w:color="auto" w:sz="4" w:space="0"/>
              <w:left w:val="dotted" w:color="auto" w:sz="4" w:space="0"/>
              <w:bottom w:val="dotted" w:color="auto" w:sz="4" w:space="0"/>
              <w:right w:val="dotted" w:color="auto" w:sz="4" w:space="0"/>
            </w:tcBorders>
            <w:vAlign w:val="center"/>
          </w:tcPr>
          <w:p w14:paraId="5C7B5331">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工业战略性新兴产业总产值占工业总产值比重</w:t>
            </w:r>
          </w:p>
        </w:tc>
        <w:tc>
          <w:tcPr>
            <w:tcW w:w="740" w:type="dxa"/>
            <w:tcBorders>
              <w:top w:val="dotted" w:color="auto" w:sz="4" w:space="0"/>
              <w:left w:val="dotted" w:color="auto" w:sz="4" w:space="0"/>
              <w:bottom w:val="dotted" w:color="auto" w:sz="4" w:space="0"/>
              <w:right w:val="dotted" w:color="auto" w:sz="4" w:space="0"/>
            </w:tcBorders>
            <w:vAlign w:val="center"/>
          </w:tcPr>
          <w:p w14:paraId="02336981">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0963202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42以上</w:t>
            </w:r>
          </w:p>
        </w:tc>
        <w:tc>
          <w:tcPr>
            <w:tcW w:w="2873" w:type="dxa"/>
            <w:gridSpan w:val="3"/>
            <w:tcBorders>
              <w:top w:val="dotted" w:color="auto" w:sz="4" w:space="0"/>
              <w:left w:val="dotted" w:color="auto" w:sz="4" w:space="0"/>
              <w:bottom w:val="dotted" w:color="auto" w:sz="4" w:space="0"/>
              <w:right w:val="nil"/>
            </w:tcBorders>
            <w:vAlign w:val="center"/>
          </w:tcPr>
          <w:p w14:paraId="32390EE6">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年度指标</w:t>
            </w:r>
          </w:p>
        </w:tc>
      </w:tr>
      <w:tr w14:paraId="1B6D4751">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exact"/>
          <w:jc w:val="center"/>
        </w:trPr>
        <w:tc>
          <w:tcPr>
            <w:tcW w:w="687" w:type="dxa"/>
            <w:vMerge w:val="continue"/>
            <w:tcBorders>
              <w:left w:val="nil"/>
              <w:right w:val="dotted" w:color="auto" w:sz="4" w:space="0"/>
            </w:tcBorders>
          </w:tcPr>
          <w:p w14:paraId="000D0F89">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101997D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9</w:t>
            </w:r>
          </w:p>
        </w:tc>
        <w:tc>
          <w:tcPr>
            <w:tcW w:w="3353" w:type="dxa"/>
            <w:tcBorders>
              <w:top w:val="dotted" w:color="auto" w:sz="4" w:space="0"/>
              <w:left w:val="dotted" w:color="auto" w:sz="4" w:space="0"/>
              <w:bottom w:val="dotted" w:color="auto" w:sz="4" w:space="0"/>
              <w:right w:val="dotted" w:color="auto" w:sz="4" w:space="0"/>
            </w:tcBorders>
            <w:vAlign w:val="center"/>
          </w:tcPr>
          <w:p w14:paraId="40E2FF3B">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生产性服务业增加值占服务业比重</w:t>
            </w:r>
          </w:p>
        </w:tc>
        <w:tc>
          <w:tcPr>
            <w:tcW w:w="740" w:type="dxa"/>
            <w:tcBorders>
              <w:top w:val="dotted" w:color="auto" w:sz="4" w:space="0"/>
              <w:left w:val="dotted" w:color="auto" w:sz="4" w:space="0"/>
              <w:bottom w:val="dotted" w:color="auto" w:sz="4" w:space="0"/>
              <w:right w:val="dotted" w:color="auto" w:sz="4" w:space="0"/>
            </w:tcBorders>
            <w:vAlign w:val="center"/>
          </w:tcPr>
          <w:p w14:paraId="5F663FAF">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70A60E9D">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达市定目标</w:t>
            </w:r>
          </w:p>
        </w:tc>
        <w:tc>
          <w:tcPr>
            <w:tcW w:w="2873" w:type="dxa"/>
            <w:gridSpan w:val="3"/>
            <w:tcBorders>
              <w:top w:val="dotted" w:color="auto" w:sz="4" w:space="0"/>
              <w:left w:val="dotted" w:color="auto" w:sz="4" w:space="0"/>
              <w:bottom w:val="dotted" w:color="auto" w:sz="4" w:space="0"/>
              <w:right w:val="nil"/>
            </w:tcBorders>
            <w:vAlign w:val="center"/>
          </w:tcPr>
          <w:p w14:paraId="6C97ED0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年度指标</w:t>
            </w:r>
          </w:p>
        </w:tc>
      </w:tr>
      <w:tr w14:paraId="158D94C8">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687" w:type="dxa"/>
            <w:vMerge w:val="continue"/>
            <w:tcBorders>
              <w:left w:val="nil"/>
              <w:right w:val="dotted" w:color="auto" w:sz="4" w:space="0"/>
            </w:tcBorders>
          </w:tcPr>
          <w:p w14:paraId="4A55A832">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532261BA">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10</w:t>
            </w:r>
          </w:p>
        </w:tc>
        <w:tc>
          <w:tcPr>
            <w:tcW w:w="3353" w:type="dxa"/>
            <w:tcBorders>
              <w:top w:val="dotted" w:color="auto" w:sz="4" w:space="0"/>
              <w:left w:val="dotted" w:color="auto" w:sz="4" w:space="0"/>
              <w:bottom w:val="dotted" w:color="auto" w:sz="4" w:space="0"/>
              <w:right w:val="dotted" w:color="auto" w:sz="4" w:space="0"/>
            </w:tcBorders>
            <w:vAlign w:val="center"/>
          </w:tcPr>
          <w:p w14:paraId="690BF50F">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新增国家和省级专精特新企业数</w:t>
            </w:r>
          </w:p>
        </w:tc>
        <w:tc>
          <w:tcPr>
            <w:tcW w:w="740" w:type="dxa"/>
            <w:tcBorders>
              <w:top w:val="dotted" w:color="auto" w:sz="4" w:space="0"/>
              <w:left w:val="dotted" w:color="auto" w:sz="4" w:space="0"/>
              <w:bottom w:val="dotted" w:color="auto" w:sz="4" w:space="0"/>
              <w:right w:val="dotted" w:color="auto" w:sz="4" w:space="0"/>
            </w:tcBorders>
            <w:vAlign w:val="center"/>
          </w:tcPr>
          <w:p w14:paraId="0AC52E26">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家</w:t>
            </w:r>
          </w:p>
        </w:tc>
        <w:tc>
          <w:tcPr>
            <w:tcW w:w="2016" w:type="dxa"/>
            <w:tcBorders>
              <w:top w:val="dotted" w:color="auto" w:sz="4" w:space="0"/>
              <w:left w:val="dotted" w:color="auto" w:sz="4" w:space="0"/>
              <w:bottom w:val="dotted" w:color="auto" w:sz="4" w:space="0"/>
              <w:right w:val="dotted" w:color="auto" w:sz="4" w:space="0"/>
            </w:tcBorders>
            <w:vAlign w:val="center"/>
          </w:tcPr>
          <w:p w14:paraId="4988184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达市定目标</w:t>
            </w:r>
          </w:p>
        </w:tc>
        <w:tc>
          <w:tcPr>
            <w:tcW w:w="819" w:type="dxa"/>
            <w:tcBorders>
              <w:top w:val="dotted" w:color="auto" w:sz="4" w:space="0"/>
              <w:left w:val="dotted" w:color="auto" w:sz="4" w:space="0"/>
              <w:bottom w:val="dotted" w:color="auto" w:sz="4" w:space="0"/>
              <w:right w:val="nil"/>
            </w:tcBorders>
            <w:vAlign w:val="center"/>
          </w:tcPr>
          <w:p w14:paraId="6B93D507">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11</w:t>
            </w:r>
          </w:p>
        </w:tc>
        <w:tc>
          <w:tcPr>
            <w:tcW w:w="1134" w:type="dxa"/>
            <w:tcBorders>
              <w:top w:val="dotted" w:color="auto" w:sz="4" w:space="0"/>
              <w:left w:val="dotted" w:color="auto" w:sz="4" w:space="0"/>
              <w:bottom w:val="dotted" w:color="auto" w:sz="4" w:space="0"/>
              <w:right w:val="nil"/>
            </w:tcBorders>
            <w:vAlign w:val="center"/>
          </w:tcPr>
          <w:p w14:paraId="21606A00">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05187001">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5901882A">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exact"/>
          <w:jc w:val="center"/>
        </w:trPr>
        <w:tc>
          <w:tcPr>
            <w:tcW w:w="687" w:type="dxa"/>
            <w:vMerge w:val="continue"/>
            <w:tcBorders>
              <w:left w:val="nil"/>
              <w:right w:val="dotted" w:color="auto" w:sz="4" w:space="0"/>
            </w:tcBorders>
            <w:vAlign w:val="center"/>
          </w:tcPr>
          <w:p w14:paraId="73917BE5">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2F4AE5B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11</w:t>
            </w:r>
          </w:p>
        </w:tc>
        <w:tc>
          <w:tcPr>
            <w:tcW w:w="3353" w:type="dxa"/>
            <w:tcBorders>
              <w:top w:val="dotted" w:color="auto" w:sz="4" w:space="0"/>
              <w:left w:val="dotted" w:color="auto" w:sz="4" w:space="0"/>
              <w:bottom w:val="dotted" w:color="auto" w:sz="4" w:space="0"/>
              <w:right w:val="dotted" w:color="auto" w:sz="4" w:space="0"/>
            </w:tcBorders>
            <w:vAlign w:val="center"/>
          </w:tcPr>
          <w:p w14:paraId="675BA27A">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制造业智能化改造和数字化转型改造企业数</w:t>
            </w:r>
          </w:p>
        </w:tc>
        <w:tc>
          <w:tcPr>
            <w:tcW w:w="740" w:type="dxa"/>
            <w:tcBorders>
              <w:top w:val="dotted" w:color="auto" w:sz="4" w:space="0"/>
              <w:left w:val="dotted" w:color="auto" w:sz="4" w:space="0"/>
              <w:bottom w:val="dotted" w:color="auto" w:sz="4" w:space="0"/>
              <w:right w:val="dotted" w:color="auto" w:sz="4" w:space="0"/>
            </w:tcBorders>
            <w:vAlign w:val="center"/>
          </w:tcPr>
          <w:p w14:paraId="41750BF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家</w:t>
            </w:r>
          </w:p>
        </w:tc>
        <w:tc>
          <w:tcPr>
            <w:tcW w:w="2016" w:type="dxa"/>
            <w:tcBorders>
              <w:top w:val="dotted" w:color="auto" w:sz="4" w:space="0"/>
              <w:left w:val="dotted" w:color="auto" w:sz="4" w:space="0"/>
              <w:bottom w:val="dotted" w:color="auto" w:sz="4" w:space="0"/>
              <w:right w:val="dotted" w:color="auto" w:sz="4" w:space="0"/>
            </w:tcBorders>
            <w:vAlign w:val="center"/>
          </w:tcPr>
          <w:p w14:paraId="42590747">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达市定目标</w:t>
            </w:r>
          </w:p>
        </w:tc>
        <w:tc>
          <w:tcPr>
            <w:tcW w:w="819" w:type="dxa"/>
            <w:tcBorders>
              <w:top w:val="dotted" w:color="auto" w:sz="4" w:space="0"/>
              <w:left w:val="dotted" w:color="auto" w:sz="4" w:space="0"/>
              <w:bottom w:val="dotted" w:color="auto" w:sz="4" w:space="0"/>
              <w:right w:val="nil"/>
            </w:tcBorders>
            <w:vAlign w:val="center"/>
          </w:tcPr>
          <w:p w14:paraId="6C7914FE">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65</w:t>
            </w:r>
          </w:p>
        </w:tc>
        <w:tc>
          <w:tcPr>
            <w:tcW w:w="1134" w:type="dxa"/>
            <w:tcBorders>
              <w:top w:val="dotted" w:color="auto" w:sz="4" w:space="0"/>
              <w:left w:val="dotted" w:color="auto" w:sz="4" w:space="0"/>
              <w:bottom w:val="dotted" w:color="auto" w:sz="4" w:space="0"/>
              <w:right w:val="nil"/>
            </w:tcBorders>
            <w:vAlign w:val="center"/>
          </w:tcPr>
          <w:p w14:paraId="7C274B2E">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0A7C2E1B">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532E8C04">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exact"/>
          <w:jc w:val="center"/>
        </w:trPr>
        <w:tc>
          <w:tcPr>
            <w:tcW w:w="687" w:type="dxa"/>
            <w:vMerge w:val="continue"/>
            <w:tcBorders>
              <w:left w:val="nil"/>
              <w:bottom w:val="dotted" w:color="auto" w:sz="4" w:space="0"/>
              <w:right w:val="dotted" w:color="auto" w:sz="4" w:space="0"/>
            </w:tcBorders>
            <w:vAlign w:val="center"/>
          </w:tcPr>
          <w:p w14:paraId="2AD1A29A">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4757C4A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12</w:t>
            </w:r>
          </w:p>
        </w:tc>
        <w:tc>
          <w:tcPr>
            <w:tcW w:w="3353" w:type="dxa"/>
            <w:tcBorders>
              <w:top w:val="dotted" w:color="auto" w:sz="4" w:space="0"/>
              <w:left w:val="dotted" w:color="auto" w:sz="4" w:space="0"/>
              <w:bottom w:val="dotted" w:color="auto" w:sz="4" w:space="0"/>
              <w:right w:val="dotted" w:color="auto" w:sz="4" w:space="0"/>
            </w:tcBorders>
            <w:vAlign w:val="center"/>
          </w:tcPr>
          <w:p w14:paraId="0D1F8120">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数字经济核心产业增加值占地区生产总值比重</w:t>
            </w:r>
          </w:p>
        </w:tc>
        <w:tc>
          <w:tcPr>
            <w:tcW w:w="740" w:type="dxa"/>
            <w:tcBorders>
              <w:top w:val="dotted" w:color="auto" w:sz="4" w:space="0"/>
              <w:left w:val="dotted" w:color="auto" w:sz="4" w:space="0"/>
              <w:bottom w:val="dotted" w:color="auto" w:sz="4" w:space="0"/>
              <w:right w:val="dotted" w:color="auto" w:sz="4" w:space="0"/>
            </w:tcBorders>
            <w:vAlign w:val="center"/>
          </w:tcPr>
          <w:p w14:paraId="0CA96F49">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5B1F0202">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达市定目标</w:t>
            </w:r>
          </w:p>
        </w:tc>
        <w:tc>
          <w:tcPr>
            <w:tcW w:w="2873" w:type="dxa"/>
            <w:gridSpan w:val="3"/>
            <w:tcBorders>
              <w:top w:val="dotted" w:color="auto" w:sz="4" w:space="0"/>
              <w:left w:val="dotted" w:color="auto" w:sz="4" w:space="0"/>
              <w:bottom w:val="dotted" w:color="auto" w:sz="4" w:space="0"/>
              <w:right w:val="nil"/>
            </w:tcBorders>
            <w:vAlign w:val="center"/>
          </w:tcPr>
          <w:p w14:paraId="4F9CF34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年度指标</w:t>
            </w:r>
          </w:p>
        </w:tc>
      </w:tr>
      <w:tr w14:paraId="4952A0F1">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restart"/>
            <w:tcBorders>
              <w:top w:val="dotted" w:color="auto" w:sz="4" w:space="0"/>
              <w:left w:val="nil"/>
              <w:right w:val="dotted" w:color="auto" w:sz="4" w:space="0"/>
            </w:tcBorders>
            <w:vAlign w:val="center"/>
          </w:tcPr>
          <w:p w14:paraId="3BBE546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创新驱动</w:t>
            </w:r>
          </w:p>
        </w:tc>
        <w:tc>
          <w:tcPr>
            <w:tcW w:w="621" w:type="dxa"/>
            <w:tcBorders>
              <w:top w:val="dotted" w:color="auto" w:sz="4" w:space="0"/>
              <w:left w:val="dotted" w:color="auto" w:sz="4" w:space="0"/>
              <w:bottom w:val="dotted" w:color="auto" w:sz="4" w:space="0"/>
              <w:right w:val="dotted" w:color="auto" w:sz="4" w:space="0"/>
            </w:tcBorders>
            <w:vAlign w:val="center"/>
          </w:tcPr>
          <w:p w14:paraId="0FB83921">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13</w:t>
            </w:r>
          </w:p>
        </w:tc>
        <w:tc>
          <w:tcPr>
            <w:tcW w:w="3353" w:type="dxa"/>
            <w:tcBorders>
              <w:top w:val="dotted" w:color="auto" w:sz="4" w:space="0"/>
              <w:left w:val="dotted" w:color="auto" w:sz="4" w:space="0"/>
              <w:bottom w:val="dotted" w:color="auto" w:sz="4" w:space="0"/>
              <w:right w:val="dotted" w:color="auto" w:sz="4" w:space="0"/>
            </w:tcBorders>
            <w:vAlign w:val="center"/>
          </w:tcPr>
          <w:p w14:paraId="29744E54">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高新技术企业数有效期内总数</w:t>
            </w:r>
          </w:p>
        </w:tc>
        <w:tc>
          <w:tcPr>
            <w:tcW w:w="740" w:type="dxa"/>
            <w:tcBorders>
              <w:top w:val="dotted" w:color="auto" w:sz="4" w:space="0"/>
              <w:left w:val="dotted" w:color="auto" w:sz="4" w:space="0"/>
              <w:bottom w:val="dotted" w:color="auto" w:sz="4" w:space="0"/>
              <w:right w:val="dotted" w:color="auto" w:sz="4" w:space="0"/>
            </w:tcBorders>
            <w:vAlign w:val="center"/>
          </w:tcPr>
          <w:p w14:paraId="6DEDADDA">
            <w:pPr>
              <w:spacing w:line="24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0"/>
                <w:szCs w:val="20"/>
              </w:rPr>
              <w:t>家</w:t>
            </w:r>
          </w:p>
        </w:tc>
        <w:tc>
          <w:tcPr>
            <w:tcW w:w="2016" w:type="dxa"/>
            <w:tcBorders>
              <w:top w:val="dotted" w:color="auto" w:sz="4" w:space="0"/>
              <w:left w:val="dotted" w:color="auto" w:sz="4" w:space="0"/>
              <w:bottom w:val="dotted" w:color="auto" w:sz="4" w:space="0"/>
              <w:right w:val="dotted" w:color="auto" w:sz="4" w:space="0"/>
            </w:tcBorders>
            <w:vAlign w:val="center"/>
          </w:tcPr>
          <w:p w14:paraId="52336D05">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突破400</w:t>
            </w:r>
          </w:p>
        </w:tc>
        <w:tc>
          <w:tcPr>
            <w:tcW w:w="2873" w:type="dxa"/>
            <w:gridSpan w:val="3"/>
            <w:tcBorders>
              <w:top w:val="dotted" w:color="auto" w:sz="4" w:space="0"/>
              <w:left w:val="dotted" w:color="auto" w:sz="4" w:space="0"/>
              <w:bottom w:val="dotted" w:color="auto" w:sz="4" w:space="0"/>
              <w:right w:val="nil"/>
            </w:tcBorders>
            <w:vAlign w:val="center"/>
          </w:tcPr>
          <w:p w14:paraId="19EA3727">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年度指标</w:t>
            </w:r>
          </w:p>
        </w:tc>
      </w:tr>
      <w:tr w14:paraId="620AD417">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exact"/>
          <w:jc w:val="center"/>
        </w:trPr>
        <w:tc>
          <w:tcPr>
            <w:tcW w:w="687" w:type="dxa"/>
            <w:vMerge w:val="continue"/>
            <w:tcBorders>
              <w:left w:val="nil"/>
              <w:right w:val="dotted" w:color="auto" w:sz="4" w:space="0"/>
            </w:tcBorders>
            <w:vAlign w:val="center"/>
          </w:tcPr>
          <w:p w14:paraId="01F52C39">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35AE450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14</w:t>
            </w:r>
          </w:p>
        </w:tc>
        <w:tc>
          <w:tcPr>
            <w:tcW w:w="3353" w:type="dxa"/>
            <w:tcBorders>
              <w:top w:val="dotted" w:color="auto" w:sz="4" w:space="0"/>
              <w:left w:val="dotted" w:color="auto" w:sz="4" w:space="0"/>
              <w:bottom w:val="dotted" w:color="auto" w:sz="4" w:space="0"/>
              <w:right w:val="dotted" w:color="auto" w:sz="4" w:space="0"/>
            </w:tcBorders>
            <w:vAlign w:val="center"/>
          </w:tcPr>
          <w:p w14:paraId="799BBBFE">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全社会研发经费支出占地区生产总值比重</w:t>
            </w:r>
          </w:p>
        </w:tc>
        <w:tc>
          <w:tcPr>
            <w:tcW w:w="740" w:type="dxa"/>
            <w:tcBorders>
              <w:top w:val="dotted" w:color="auto" w:sz="4" w:space="0"/>
              <w:left w:val="dotted" w:color="auto" w:sz="4" w:space="0"/>
              <w:bottom w:val="dotted" w:color="auto" w:sz="4" w:space="0"/>
              <w:right w:val="dotted" w:color="auto" w:sz="4" w:space="0"/>
            </w:tcBorders>
            <w:vAlign w:val="center"/>
          </w:tcPr>
          <w:p w14:paraId="6687FFE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0A71FC4B">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2.88以上</w:t>
            </w:r>
          </w:p>
        </w:tc>
        <w:tc>
          <w:tcPr>
            <w:tcW w:w="2873" w:type="dxa"/>
            <w:gridSpan w:val="3"/>
            <w:tcBorders>
              <w:top w:val="dotted" w:color="auto" w:sz="4" w:space="0"/>
              <w:left w:val="dotted" w:color="auto" w:sz="4" w:space="0"/>
              <w:bottom w:val="dotted" w:color="auto" w:sz="4" w:space="0"/>
              <w:right w:val="nil"/>
            </w:tcBorders>
            <w:vAlign w:val="center"/>
          </w:tcPr>
          <w:p w14:paraId="51E890E0">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年度指标</w:t>
            </w:r>
          </w:p>
        </w:tc>
      </w:tr>
      <w:tr w14:paraId="174F4BD4">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continue"/>
            <w:tcBorders>
              <w:left w:val="nil"/>
              <w:right w:val="dotted" w:color="auto" w:sz="4" w:space="0"/>
            </w:tcBorders>
            <w:vAlign w:val="center"/>
          </w:tcPr>
          <w:p w14:paraId="547753B7">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00D379C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15</w:t>
            </w:r>
          </w:p>
        </w:tc>
        <w:tc>
          <w:tcPr>
            <w:tcW w:w="3353" w:type="dxa"/>
            <w:tcBorders>
              <w:top w:val="dotted" w:color="auto" w:sz="4" w:space="0"/>
              <w:left w:val="dotted" w:color="auto" w:sz="4" w:space="0"/>
              <w:bottom w:val="dotted" w:color="auto" w:sz="4" w:space="0"/>
              <w:right w:val="dotted" w:color="auto" w:sz="4" w:space="0"/>
            </w:tcBorders>
            <w:vAlign w:val="center"/>
          </w:tcPr>
          <w:p w14:paraId="4BF2DEFE">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技术合同成交额</w:t>
            </w:r>
          </w:p>
        </w:tc>
        <w:tc>
          <w:tcPr>
            <w:tcW w:w="740" w:type="dxa"/>
            <w:tcBorders>
              <w:top w:val="dotted" w:color="auto" w:sz="4" w:space="0"/>
              <w:left w:val="dotted" w:color="auto" w:sz="4" w:space="0"/>
              <w:bottom w:val="dotted" w:color="auto" w:sz="4" w:space="0"/>
              <w:right w:val="dotted" w:color="auto" w:sz="4" w:space="0"/>
            </w:tcBorders>
            <w:vAlign w:val="center"/>
          </w:tcPr>
          <w:p w14:paraId="3F61961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亿元</w:t>
            </w:r>
          </w:p>
        </w:tc>
        <w:tc>
          <w:tcPr>
            <w:tcW w:w="2016" w:type="dxa"/>
            <w:tcBorders>
              <w:top w:val="dotted" w:color="auto" w:sz="4" w:space="0"/>
              <w:left w:val="dotted" w:color="auto" w:sz="4" w:space="0"/>
              <w:bottom w:val="dotted" w:color="auto" w:sz="4" w:space="0"/>
              <w:right w:val="dotted" w:color="auto" w:sz="4" w:space="0"/>
            </w:tcBorders>
            <w:vAlign w:val="center"/>
          </w:tcPr>
          <w:p w14:paraId="1DC87B54">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超21</w:t>
            </w:r>
          </w:p>
        </w:tc>
        <w:tc>
          <w:tcPr>
            <w:tcW w:w="819" w:type="dxa"/>
            <w:tcBorders>
              <w:top w:val="dotted" w:color="auto" w:sz="4" w:space="0"/>
              <w:left w:val="dotted" w:color="auto" w:sz="4" w:space="0"/>
              <w:bottom w:val="dotted" w:color="auto" w:sz="4" w:space="0"/>
              <w:right w:val="dotted" w:color="auto" w:sz="4" w:space="0"/>
            </w:tcBorders>
            <w:vAlign w:val="center"/>
          </w:tcPr>
          <w:p w14:paraId="2F30001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18.27</w:t>
            </w:r>
          </w:p>
        </w:tc>
        <w:tc>
          <w:tcPr>
            <w:tcW w:w="1134" w:type="dxa"/>
            <w:tcBorders>
              <w:top w:val="dotted" w:color="auto" w:sz="4" w:space="0"/>
              <w:left w:val="dotted" w:color="auto" w:sz="4" w:space="0"/>
              <w:bottom w:val="dotted" w:color="auto" w:sz="4" w:space="0"/>
              <w:right w:val="dotted" w:color="auto" w:sz="4" w:space="0"/>
            </w:tcBorders>
            <w:vAlign w:val="center"/>
          </w:tcPr>
          <w:p w14:paraId="5F810DA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74F5DDEA">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4C4FCF58">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exact"/>
          <w:jc w:val="center"/>
        </w:trPr>
        <w:tc>
          <w:tcPr>
            <w:tcW w:w="687" w:type="dxa"/>
            <w:vMerge w:val="restart"/>
            <w:tcBorders>
              <w:left w:val="nil"/>
              <w:right w:val="dotted" w:color="auto" w:sz="4" w:space="0"/>
            </w:tcBorders>
            <w:vAlign w:val="center"/>
          </w:tcPr>
          <w:p w14:paraId="581CB432">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创新驱动</w:t>
            </w:r>
          </w:p>
        </w:tc>
        <w:tc>
          <w:tcPr>
            <w:tcW w:w="621" w:type="dxa"/>
            <w:tcBorders>
              <w:top w:val="dotted" w:color="auto" w:sz="4" w:space="0"/>
              <w:left w:val="dotted" w:color="auto" w:sz="4" w:space="0"/>
              <w:bottom w:val="dotted" w:color="auto" w:sz="4" w:space="0"/>
              <w:right w:val="dotted" w:color="auto" w:sz="4" w:space="0"/>
            </w:tcBorders>
            <w:vAlign w:val="center"/>
          </w:tcPr>
          <w:p w14:paraId="6039B422">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16</w:t>
            </w:r>
          </w:p>
        </w:tc>
        <w:tc>
          <w:tcPr>
            <w:tcW w:w="3353" w:type="dxa"/>
            <w:tcBorders>
              <w:top w:val="dotted" w:color="auto" w:sz="4" w:space="0"/>
              <w:left w:val="dotted" w:color="auto" w:sz="4" w:space="0"/>
              <w:bottom w:val="dotted" w:color="auto" w:sz="4" w:space="0"/>
              <w:right w:val="dotted" w:color="auto" w:sz="4" w:space="0"/>
            </w:tcBorders>
            <w:vAlign w:val="center"/>
          </w:tcPr>
          <w:p w14:paraId="20C0719E">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高新技术产业产值占规模以上工业产值比重</w:t>
            </w:r>
          </w:p>
        </w:tc>
        <w:tc>
          <w:tcPr>
            <w:tcW w:w="740" w:type="dxa"/>
            <w:tcBorders>
              <w:top w:val="dotted" w:color="auto" w:sz="4" w:space="0"/>
              <w:left w:val="dotted" w:color="auto" w:sz="4" w:space="0"/>
              <w:bottom w:val="dotted" w:color="auto" w:sz="4" w:space="0"/>
              <w:right w:val="dotted" w:color="auto" w:sz="4" w:space="0"/>
            </w:tcBorders>
            <w:vAlign w:val="center"/>
          </w:tcPr>
          <w:p w14:paraId="11D37824">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78B4CA5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力争57</w:t>
            </w:r>
          </w:p>
        </w:tc>
        <w:tc>
          <w:tcPr>
            <w:tcW w:w="819" w:type="dxa"/>
            <w:tcBorders>
              <w:top w:val="dotted" w:color="auto" w:sz="4" w:space="0"/>
              <w:left w:val="dotted" w:color="auto" w:sz="4" w:space="0"/>
              <w:bottom w:val="dotted" w:color="auto" w:sz="4" w:space="0"/>
              <w:right w:val="nil"/>
            </w:tcBorders>
            <w:vAlign w:val="center"/>
          </w:tcPr>
          <w:p w14:paraId="4AC2DCC5">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63.4</w:t>
            </w:r>
          </w:p>
        </w:tc>
        <w:tc>
          <w:tcPr>
            <w:tcW w:w="1134" w:type="dxa"/>
            <w:tcBorders>
              <w:top w:val="dotted" w:color="auto" w:sz="4" w:space="0"/>
              <w:left w:val="dotted" w:color="auto" w:sz="4" w:space="0"/>
              <w:bottom w:val="dotted" w:color="auto" w:sz="4" w:space="0"/>
              <w:right w:val="nil"/>
            </w:tcBorders>
            <w:vAlign w:val="center"/>
          </w:tcPr>
          <w:p w14:paraId="309C4CE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773F23DD">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12F031AE">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exact"/>
          <w:jc w:val="center"/>
        </w:trPr>
        <w:tc>
          <w:tcPr>
            <w:tcW w:w="687" w:type="dxa"/>
            <w:vMerge w:val="continue"/>
            <w:tcBorders>
              <w:left w:val="nil"/>
              <w:bottom w:val="dotted" w:color="auto" w:sz="4" w:space="0"/>
              <w:right w:val="dotted" w:color="auto" w:sz="4" w:space="0"/>
            </w:tcBorders>
            <w:vAlign w:val="center"/>
          </w:tcPr>
          <w:p w14:paraId="2CD238C3">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17D869D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17</w:t>
            </w:r>
          </w:p>
        </w:tc>
        <w:tc>
          <w:tcPr>
            <w:tcW w:w="3353" w:type="dxa"/>
            <w:tcBorders>
              <w:top w:val="dotted" w:color="auto" w:sz="4" w:space="0"/>
              <w:left w:val="dotted" w:color="auto" w:sz="4" w:space="0"/>
              <w:bottom w:val="dotted" w:color="auto" w:sz="4" w:space="0"/>
              <w:right w:val="dotted" w:color="auto" w:sz="4" w:space="0"/>
            </w:tcBorders>
            <w:vAlign w:val="center"/>
          </w:tcPr>
          <w:p w14:paraId="6461C84E">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有效发明专利拥有量</w:t>
            </w:r>
          </w:p>
        </w:tc>
        <w:tc>
          <w:tcPr>
            <w:tcW w:w="740" w:type="dxa"/>
            <w:tcBorders>
              <w:top w:val="dotted" w:color="auto" w:sz="4" w:space="0"/>
              <w:left w:val="dotted" w:color="auto" w:sz="4" w:space="0"/>
              <w:bottom w:val="dotted" w:color="auto" w:sz="4" w:space="0"/>
              <w:right w:val="dotted" w:color="auto" w:sz="4" w:space="0"/>
            </w:tcBorders>
            <w:vAlign w:val="center"/>
          </w:tcPr>
          <w:p w14:paraId="164E38B2">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件</w:t>
            </w:r>
          </w:p>
        </w:tc>
        <w:tc>
          <w:tcPr>
            <w:tcW w:w="2016" w:type="dxa"/>
            <w:tcBorders>
              <w:top w:val="dotted" w:color="auto" w:sz="4" w:space="0"/>
              <w:left w:val="dotted" w:color="auto" w:sz="4" w:space="0"/>
              <w:bottom w:val="dotted" w:color="auto" w:sz="4" w:space="0"/>
              <w:right w:val="dotted" w:color="auto" w:sz="4" w:space="0"/>
            </w:tcBorders>
            <w:vAlign w:val="center"/>
          </w:tcPr>
          <w:p w14:paraId="51E1CEC4">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达市定目标</w:t>
            </w:r>
          </w:p>
        </w:tc>
        <w:tc>
          <w:tcPr>
            <w:tcW w:w="819" w:type="dxa"/>
            <w:tcBorders>
              <w:top w:val="dotted" w:color="auto" w:sz="4" w:space="0"/>
              <w:left w:val="dotted" w:color="auto" w:sz="4" w:space="0"/>
              <w:bottom w:val="dotted" w:color="auto" w:sz="4" w:space="0"/>
              <w:right w:val="nil"/>
            </w:tcBorders>
            <w:vAlign w:val="center"/>
          </w:tcPr>
          <w:p w14:paraId="5EC627B1">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1477</w:t>
            </w:r>
          </w:p>
        </w:tc>
        <w:tc>
          <w:tcPr>
            <w:tcW w:w="1134" w:type="dxa"/>
            <w:tcBorders>
              <w:top w:val="dotted" w:color="auto" w:sz="4" w:space="0"/>
              <w:left w:val="dotted" w:color="auto" w:sz="4" w:space="0"/>
              <w:bottom w:val="dotted" w:color="auto" w:sz="4" w:space="0"/>
              <w:right w:val="nil"/>
            </w:tcBorders>
            <w:vAlign w:val="center"/>
          </w:tcPr>
          <w:p w14:paraId="72EDA01E">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2124918A">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7ECBA436">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restart"/>
            <w:tcBorders>
              <w:top w:val="dotted" w:color="auto" w:sz="4" w:space="0"/>
              <w:left w:val="nil"/>
              <w:right w:val="dotted" w:color="auto" w:sz="4" w:space="0"/>
            </w:tcBorders>
            <w:vAlign w:val="center"/>
          </w:tcPr>
          <w:p w14:paraId="23AE8BD2">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民生保障</w:t>
            </w:r>
          </w:p>
        </w:tc>
        <w:tc>
          <w:tcPr>
            <w:tcW w:w="621" w:type="dxa"/>
            <w:tcBorders>
              <w:top w:val="dotted" w:color="auto" w:sz="4" w:space="0"/>
              <w:left w:val="dotted" w:color="auto" w:sz="4" w:space="0"/>
              <w:bottom w:val="dotted" w:color="auto" w:sz="4" w:space="0"/>
              <w:right w:val="dotted" w:color="auto" w:sz="4" w:space="0"/>
            </w:tcBorders>
            <w:vAlign w:val="center"/>
          </w:tcPr>
          <w:p w14:paraId="7A36C62F">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18</w:t>
            </w:r>
          </w:p>
        </w:tc>
        <w:tc>
          <w:tcPr>
            <w:tcW w:w="3353" w:type="dxa"/>
            <w:tcBorders>
              <w:top w:val="dotted" w:color="auto" w:sz="4" w:space="0"/>
              <w:left w:val="dotted" w:color="auto" w:sz="4" w:space="0"/>
              <w:bottom w:val="dotted" w:color="auto" w:sz="4" w:space="0"/>
              <w:right w:val="dotted" w:color="auto" w:sz="4" w:space="0"/>
            </w:tcBorders>
            <w:vAlign w:val="center"/>
          </w:tcPr>
          <w:p w14:paraId="225E038B">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城乡基本养老保险参保缴费率</w:t>
            </w:r>
          </w:p>
        </w:tc>
        <w:tc>
          <w:tcPr>
            <w:tcW w:w="740" w:type="dxa"/>
            <w:tcBorders>
              <w:top w:val="dotted" w:color="auto" w:sz="4" w:space="0"/>
              <w:left w:val="dotted" w:color="auto" w:sz="4" w:space="0"/>
              <w:bottom w:val="dotted" w:color="auto" w:sz="4" w:space="0"/>
              <w:right w:val="dotted" w:color="auto" w:sz="4" w:space="0"/>
            </w:tcBorders>
            <w:vAlign w:val="center"/>
          </w:tcPr>
          <w:p w14:paraId="0BBAB8C0">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154E5BA5">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90以上</w:t>
            </w:r>
          </w:p>
        </w:tc>
        <w:tc>
          <w:tcPr>
            <w:tcW w:w="2873" w:type="dxa"/>
            <w:gridSpan w:val="3"/>
            <w:tcBorders>
              <w:top w:val="dotted" w:color="auto" w:sz="4" w:space="0"/>
              <w:left w:val="dotted" w:color="auto" w:sz="4" w:space="0"/>
              <w:bottom w:val="dotted" w:color="auto" w:sz="4" w:space="0"/>
              <w:right w:val="nil"/>
            </w:tcBorders>
            <w:vAlign w:val="center"/>
          </w:tcPr>
          <w:p w14:paraId="7A1E7DC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年度指标</w:t>
            </w:r>
          </w:p>
        </w:tc>
      </w:tr>
      <w:tr w14:paraId="2952B710">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continue"/>
            <w:tcBorders>
              <w:left w:val="nil"/>
              <w:right w:val="dotted" w:color="auto" w:sz="4" w:space="0"/>
            </w:tcBorders>
            <w:vAlign w:val="center"/>
          </w:tcPr>
          <w:p w14:paraId="6567ADEA">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5587E56A">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19</w:t>
            </w:r>
          </w:p>
        </w:tc>
        <w:tc>
          <w:tcPr>
            <w:tcW w:w="3353" w:type="dxa"/>
            <w:tcBorders>
              <w:top w:val="dotted" w:color="auto" w:sz="4" w:space="0"/>
              <w:left w:val="dotted" w:color="auto" w:sz="4" w:space="0"/>
              <w:bottom w:val="dotted" w:color="auto" w:sz="4" w:space="0"/>
              <w:right w:val="dotted" w:color="auto" w:sz="4" w:space="0"/>
            </w:tcBorders>
            <w:vAlign w:val="center"/>
          </w:tcPr>
          <w:p w14:paraId="5978F391">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城乡基本医疗保险参保率</w:t>
            </w:r>
          </w:p>
        </w:tc>
        <w:tc>
          <w:tcPr>
            <w:tcW w:w="740" w:type="dxa"/>
            <w:tcBorders>
              <w:top w:val="dotted" w:color="auto" w:sz="4" w:space="0"/>
              <w:left w:val="dotted" w:color="auto" w:sz="4" w:space="0"/>
              <w:bottom w:val="dotted" w:color="auto" w:sz="4" w:space="0"/>
              <w:right w:val="dotted" w:color="auto" w:sz="4" w:space="0"/>
            </w:tcBorders>
            <w:vAlign w:val="center"/>
          </w:tcPr>
          <w:p w14:paraId="1024D646">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703CF1AD">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99以上</w:t>
            </w:r>
          </w:p>
        </w:tc>
        <w:tc>
          <w:tcPr>
            <w:tcW w:w="2873" w:type="dxa"/>
            <w:gridSpan w:val="3"/>
            <w:tcBorders>
              <w:top w:val="dotted" w:color="auto" w:sz="4" w:space="0"/>
              <w:left w:val="dotted" w:color="auto" w:sz="4" w:space="0"/>
              <w:bottom w:val="dotted" w:color="auto" w:sz="4" w:space="0"/>
              <w:right w:val="nil"/>
            </w:tcBorders>
            <w:vAlign w:val="center"/>
          </w:tcPr>
          <w:p w14:paraId="6D10672A">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年度指标</w:t>
            </w:r>
          </w:p>
        </w:tc>
      </w:tr>
      <w:tr w14:paraId="27F11619">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continue"/>
            <w:tcBorders>
              <w:left w:val="nil"/>
              <w:right w:val="dotted" w:color="auto" w:sz="4" w:space="0"/>
            </w:tcBorders>
          </w:tcPr>
          <w:p w14:paraId="65459D94">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3ABB1C85">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20</w:t>
            </w:r>
          </w:p>
        </w:tc>
        <w:tc>
          <w:tcPr>
            <w:tcW w:w="3353" w:type="dxa"/>
            <w:tcBorders>
              <w:top w:val="dotted" w:color="auto" w:sz="4" w:space="0"/>
              <w:left w:val="dotted" w:color="auto" w:sz="4" w:space="0"/>
              <w:bottom w:val="dotted" w:color="auto" w:sz="4" w:space="0"/>
              <w:right w:val="dotted" w:color="auto" w:sz="4" w:space="0"/>
            </w:tcBorders>
            <w:vAlign w:val="center"/>
          </w:tcPr>
          <w:p w14:paraId="3741E76B">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城镇新增就业人数</w:t>
            </w:r>
          </w:p>
        </w:tc>
        <w:tc>
          <w:tcPr>
            <w:tcW w:w="740" w:type="dxa"/>
            <w:tcBorders>
              <w:top w:val="dotted" w:color="auto" w:sz="4" w:space="0"/>
              <w:left w:val="dotted" w:color="auto" w:sz="4" w:space="0"/>
              <w:bottom w:val="dotted" w:color="auto" w:sz="4" w:space="0"/>
              <w:right w:val="dotted" w:color="auto" w:sz="4" w:space="0"/>
            </w:tcBorders>
            <w:vAlign w:val="center"/>
          </w:tcPr>
          <w:p w14:paraId="7657CA2F">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人</w:t>
            </w:r>
          </w:p>
        </w:tc>
        <w:tc>
          <w:tcPr>
            <w:tcW w:w="2016" w:type="dxa"/>
            <w:tcBorders>
              <w:top w:val="dotted" w:color="auto" w:sz="4" w:space="0"/>
              <w:left w:val="dotted" w:color="auto" w:sz="4" w:space="0"/>
              <w:bottom w:val="dotted" w:color="auto" w:sz="4" w:space="0"/>
              <w:right w:val="dotted" w:color="auto" w:sz="4" w:space="0"/>
            </w:tcBorders>
            <w:vAlign w:val="center"/>
          </w:tcPr>
          <w:p w14:paraId="20F476DF">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达市定目标</w:t>
            </w:r>
          </w:p>
        </w:tc>
        <w:tc>
          <w:tcPr>
            <w:tcW w:w="819" w:type="dxa"/>
            <w:tcBorders>
              <w:top w:val="dotted" w:color="auto" w:sz="4" w:space="0"/>
              <w:left w:val="dotted" w:color="auto" w:sz="4" w:space="0"/>
              <w:bottom w:val="dotted" w:color="auto" w:sz="4" w:space="0"/>
              <w:right w:val="nil"/>
            </w:tcBorders>
            <w:vAlign w:val="center"/>
          </w:tcPr>
          <w:p w14:paraId="5D80FDF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3832</w:t>
            </w:r>
          </w:p>
        </w:tc>
        <w:tc>
          <w:tcPr>
            <w:tcW w:w="1134" w:type="dxa"/>
            <w:tcBorders>
              <w:top w:val="dotted" w:color="auto" w:sz="4" w:space="0"/>
              <w:left w:val="dotted" w:color="auto" w:sz="4" w:space="0"/>
              <w:bottom w:val="dotted" w:color="auto" w:sz="4" w:space="0"/>
              <w:right w:val="nil"/>
            </w:tcBorders>
            <w:vAlign w:val="center"/>
          </w:tcPr>
          <w:p w14:paraId="389C967F">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6A4659D4">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63CD0360">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continue"/>
            <w:tcBorders>
              <w:left w:val="nil"/>
              <w:right w:val="dotted" w:color="auto" w:sz="4" w:space="0"/>
            </w:tcBorders>
            <w:vAlign w:val="center"/>
          </w:tcPr>
          <w:p w14:paraId="66E98F20">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2924BAD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21</w:t>
            </w:r>
          </w:p>
        </w:tc>
        <w:tc>
          <w:tcPr>
            <w:tcW w:w="3353" w:type="dxa"/>
            <w:tcBorders>
              <w:top w:val="dotted" w:color="auto" w:sz="4" w:space="0"/>
              <w:left w:val="dotted" w:color="auto" w:sz="4" w:space="0"/>
              <w:bottom w:val="dotted" w:color="auto" w:sz="4" w:space="0"/>
              <w:right w:val="dotted" w:color="auto" w:sz="4" w:space="0"/>
            </w:tcBorders>
            <w:vAlign w:val="center"/>
          </w:tcPr>
          <w:p w14:paraId="0121438C">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接受上门服务的居家老年人数占比</w:t>
            </w:r>
          </w:p>
        </w:tc>
        <w:tc>
          <w:tcPr>
            <w:tcW w:w="740" w:type="dxa"/>
            <w:tcBorders>
              <w:top w:val="dotted" w:color="auto" w:sz="4" w:space="0"/>
              <w:left w:val="dotted" w:color="auto" w:sz="4" w:space="0"/>
              <w:bottom w:val="dotted" w:color="auto" w:sz="4" w:space="0"/>
              <w:right w:val="dotted" w:color="auto" w:sz="4" w:space="0"/>
            </w:tcBorders>
            <w:vAlign w:val="center"/>
          </w:tcPr>
          <w:p w14:paraId="7428F91E">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62E9FAFE">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28</w:t>
            </w:r>
          </w:p>
        </w:tc>
        <w:tc>
          <w:tcPr>
            <w:tcW w:w="819" w:type="dxa"/>
            <w:tcBorders>
              <w:top w:val="dotted" w:color="auto" w:sz="4" w:space="0"/>
              <w:left w:val="dotted" w:color="auto" w:sz="4" w:space="0"/>
              <w:bottom w:val="dotted" w:color="auto" w:sz="4" w:space="0"/>
              <w:right w:val="dotted" w:color="auto" w:sz="4" w:space="0"/>
            </w:tcBorders>
            <w:vAlign w:val="center"/>
          </w:tcPr>
          <w:p w14:paraId="454EDAD5">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30.17</w:t>
            </w:r>
          </w:p>
        </w:tc>
        <w:tc>
          <w:tcPr>
            <w:tcW w:w="1134" w:type="dxa"/>
            <w:tcBorders>
              <w:top w:val="dotted" w:color="auto" w:sz="4" w:space="0"/>
              <w:left w:val="dotted" w:color="auto" w:sz="4" w:space="0"/>
              <w:bottom w:val="dotted" w:color="auto" w:sz="4" w:space="0"/>
              <w:right w:val="dotted" w:color="auto" w:sz="4" w:space="0"/>
            </w:tcBorders>
            <w:vAlign w:val="center"/>
          </w:tcPr>
          <w:p w14:paraId="7D2E012E">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68F03FD0">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38ED821E">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restart"/>
            <w:tcBorders>
              <w:left w:val="nil"/>
              <w:right w:val="dotted" w:color="auto" w:sz="4" w:space="0"/>
            </w:tcBorders>
            <w:vAlign w:val="center"/>
          </w:tcPr>
          <w:p w14:paraId="4B075A8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民生保障</w:t>
            </w:r>
          </w:p>
        </w:tc>
        <w:tc>
          <w:tcPr>
            <w:tcW w:w="621" w:type="dxa"/>
            <w:tcBorders>
              <w:top w:val="dotted" w:color="auto" w:sz="4" w:space="0"/>
              <w:left w:val="dotted" w:color="auto" w:sz="4" w:space="0"/>
              <w:bottom w:val="dotted" w:color="auto" w:sz="4" w:space="0"/>
              <w:right w:val="dotted" w:color="auto" w:sz="4" w:space="0"/>
            </w:tcBorders>
            <w:vAlign w:val="center"/>
          </w:tcPr>
          <w:p w14:paraId="7428F961">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22</w:t>
            </w:r>
          </w:p>
        </w:tc>
        <w:tc>
          <w:tcPr>
            <w:tcW w:w="3353" w:type="dxa"/>
            <w:tcBorders>
              <w:top w:val="dotted" w:color="auto" w:sz="4" w:space="0"/>
              <w:left w:val="dotted" w:color="auto" w:sz="4" w:space="0"/>
              <w:bottom w:val="dotted" w:color="auto" w:sz="4" w:space="0"/>
              <w:right w:val="dotted" w:color="auto" w:sz="4" w:space="0"/>
            </w:tcBorders>
            <w:vAlign w:val="center"/>
          </w:tcPr>
          <w:p w14:paraId="62F4069B">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每千人口拥有0-3岁婴幼儿托位数</w:t>
            </w:r>
          </w:p>
        </w:tc>
        <w:tc>
          <w:tcPr>
            <w:tcW w:w="740" w:type="dxa"/>
            <w:tcBorders>
              <w:top w:val="dotted" w:color="auto" w:sz="4" w:space="0"/>
              <w:left w:val="dotted" w:color="auto" w:sz="4" w:space="0"/>
              <w:bottom w:val="dotted" w:color="auto" w:sz="4" w:space="0"/>
              <w:right w:val="dotted" w:color="auto" w:sz="4" w:space="0"/>
            </w:tcBorders>
            <w:vAlign w:val="center"/>
          </w:tcPr>
          <w:p w14:paraId="46AE58A0">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个</w:t>
            </w:r>
          </w:p>
        </w:tc>
        <w:tc>
          <w:tcPr>
            <w:tcW w:w="2016" w:type="dxa"/>
            <w:tcBorders>
              <w:top w:val="dotted" w:color="auto" w:sz="4" w:space="0"/>
              <w:left w:val="dotted" w:color="auto" w:sz="4" w:space="0"/>
              <w:bottom w:val="dotted" w:color="auto" w:sz="4" w:space="0"/>
              <w:right w:val="dotted" w:color="auto" w:sz="4" w:space="0"/>
            </w:tcBorders>
            <w:vAlign w:val="center"/>
          </w:tcPr>
          <w:p w14:paraId="298AD6AE">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4.5以上</w:t>
            </w:r>
          </w:p>
        </w:tc>
        <w:tc>
          <w:tcPr>
            <w:tcW w:w="819" w:type="dxa"/>
            <w:tcBorders>
              <w:top w:val="dotted" w:color="auto" w:sz="4" w:space="0"/>
              <w:left w:val="dotted" w:color="auto" w:sz="4" w:space="0"/>
              <w:bottom w:val="dotted" w:color="auto" w:sz="4" w:space="0"/>
              <w:right w:val="dotted" w:color="auto" w:sz="4" w:space="0"/>
            </w:tcBorders>
            <w:vAlign w:val="center"/>
          </w:tcPr>
          <w:p w14:paraId="4E5AA1E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4.8</w:t>
            </w:r>
          </w:p>
        </w:tc>
        <w:tc>
          <w:tcPr>
            <w:tcW w:w="1134" w:type="dxa"/>
            <w:tcBorders>
              <w:top w:val="dotted" w:color="auto" w:sz="4" w:space="0"/>
              <w:left w:val="dotted" w:color="auto" w:sz="4" w:space="0"/>
              <w:bottom w:val="dotted" w:color="auto" w:sz="4" w:space="0"/>
              <w:right w:val="dotted" w:color="auto" w:sz="4" w:space="0"/>
            </w:tcBorders>
            <w:vAlign w:val="center"/>
          </w:tcPr>
          <w:p w14:paraId="0602332D">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1D71FC6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0B7B52AE">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continue"/>
            <w:tcBorders>
              <w:left w:val="nil"/>
              <w:right w:val="dotted" w:color="auto" w:sz="4" w:space="0"/>
            </w:tcBorders>
            <w:vAlign w:val="center"/>
          </w:tcPr>
          <w:p w14:paraId="0AA58C4C">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0C03F975">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23</w:t>
            </w:r>
          </w:p>
        </w:tc>
        <w:tc>
          <w:tcPr>
            <w:tcW w:w="3353" w:type="dxa"/>
            <w:tcBorders>
              <w:top w:val="dotted" w:color="auto" w:sz="4" w:space="0"/>
              <w:left w:val="dotted" w:color="auto" w:sz="4" w:space="0"/>
              <w:bottom w:val="dotted" w:color="auto" w:sz="4" w:space="0"/>
              <w:right w:val="dotted" w:color="auto" w:sz="4" w:space="0"/>
            </w:tcBorders>
            <w:vAlign w:val="center"/>
          </w:tcPr>
          <w:p w14:paraId="0F85B9AD">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每千人执业（助理）医师数</w:t>
            </w:r>
          </w:p>
        </w:tc>
        <w:tc>
          <w:tcPr>
            <w:tcW w:w="740" w:type="dxa"/>
            <w:tcBorders>
              <w:top w:val="dotted" w:color="auto" w:sz="4" w:space="0"/>
              <w:left w:val="dotted" w:color="auto" w:sz="4" w:space="0"/>
              <w:bottom w:val="dotted" w:color="auto" w:sz="4" w:space="0"/>
              <w:right w:val="dotted" w:color="auto" w:sz="4" w:space="0"/>
            </w:tcBorders>
            <w:vAlign w:val="center"/>
          </w:tcPr>
          <w:p w14:paraId="1830CFDB">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人</w:t>
            </w:r>
          </w:p>
        </w:tc>
        <w:tc>
          <w:tcPr>
            <w:tcW w:w="2016" w:type="dxa"/>
            <w:tcBorders>
              <w:top w:val="dotted" w:color="auto" w:sz="4" w:space="0"/>
              <w:left w:val="dotted" w:color="auto" w:sz="4" w:space="0"/>
              <w:bottom w:val="dotted" w:color="auto" w:sz="4" w:space="0"/>
              <w:right w:val="dotted" w:color="auto" w:sz="4" w:space="0"/>
            </w:tcBorders>
            <w:vAlign w:val="center"/>
          </w:tcPr>
          <w:p w14:paraId="23A2CC44">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2.56</w:t>
            </w:r>
          </w:p>
        </w:tc>
        <w:tc>
          <w:tcPr>
            <w:tcW w:w="819" w:type="dxa"/>
            <w:tcBorders>
              <w:top w:val="dotted" w:color="auto" w:sz="4" w:space="0"/>
              <w:left w:val="dotted" w:color="auto" w:sz="4" w:space="0"/>
              <w:bottom w:val="dotted" w:color="auto" w:sz="4" w:space="0"/>
              <w:right w:val="dotted" w:color="auto" w:sz="4" w:space="0"/>
            </w:tcBorders>
            <w:vAlign w:val="center"/>
          </w:tcPr>
          <w:p w14:paraId="37832006">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2.56</w:t>
            </w:r>
          </w:p>
        </w:tc>
        <w:tc>
          <w:tcPr>
            <w:tcW w:w="1134" w:type="dxa"/>
            <w:tcBorders>
              <w:top w:val="dotted" w:color="auto" w:sz="4" w:space="0"/>
              <w:left w:val="dotted" w:color="auto" w:sz="4" w:space="0"/>
              <w:bottom w:val="dotted" w:color="auto" w:sz="4" w:space="0"/>
              <w:right w:val="dotted" w:color="auto" w:sz="4" w:space="0"/>
            </w:tcBorders>
            <w:vAlign w:val="center"/>
          </w:tcPr>
          <w:p w14:paraId="3C705F6B">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3E097286">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6679283D">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continue"/>
            <w:tcBorders>
              <w:left w:val="nil"/>
              <w:right w:val="dotted" w:color="auto" w:sz="4" w:space="0"/>
            </w:tcBorders>
          </w:tcPr>
          <w:p w14:paraId="151F8214">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74CDFAD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24</w:t>
            </w:r>
          </w:p>
        </w:tc>
        <w:tc>
          <w:tcPr>
            <w:tcW w:w="3353" w:type="dxa"/>
            <w:tcBorders>
              <w:top w:val="dotted" w:color="auto" w:sz="4" w:space="0"/>
              <w:left w:val="dotted" w:color="auto" w:sz="4" w:space="0"/>
              <w:bottom w:val="dotted" w:color="auto" w:sz="4" w:space="0"/>
              <w:right w:val="dotted" w:color="auto" w:sz="4" w:space="0"/>
            </w:tcBorders>
            <w:vAlign w:val="center"/>
          </w:tcPr>
          <w:p w14:paraId="1D1C6E62">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每千人口医疗卫生机构床位数</w:t>
            </w:r>
          </w:p>
        </w:tc>
        <w:tc>
          <w:tcPr>
            <w:tcW w:w="740" w:type="dxa"/>
            <w:tcBorders>
              <w:top w:val="dotted" w:color="auto" w:sz="4" w:space="0"/>
              <w:left w:val="dotted" w:color="auto" w:sz="4" w:space="0"/>
              <w:bottom w:val="dotted" w:color="auto" w:sz="4" w:space="0"/>
              <w:right w:val="dotted" w:color="auto" w:sz="4" w:space="0"/>
            </w:tcBorders>
            <w:vAlign w:val="center"/>
          </w:tcPr>
          <w:p w14:paraId="66C377A5">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张</w:t>
            </w:r>
          </w:p>
        </w:tc>
        <w:tc>
          <w:tcPr>
            <w:tcW w:w="2016" w:type="dxa"/>
            <w:tcBorders>
              <w:top w:val="dotted" w:color="auto" w:sz="4" w:space="0"/>
              <w:left w:val="dotted" w:color="auto" w:sz="4" w:space="0"/>
              <w:bottom w:val="dotted" w:color="auto" w:sz="4" w:space="0"/>
              <w:right w:val="dotted" w:color="auto" w:sz="4" w:space="0"/>
            </w:tcBorders>
            <w:vAlign w:val="center"/>
          </w:tcPr>
          <w:p w14:paraId="73D1F12B">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3.8</w:t>
            </w:r>
          </w:p>
        </w:tc>
        <w:tc>
          <w:tcPr>
            <w:tcW w:w="819" w:type="dxa"/>
            <w:tcBorders>
              <w:top w:val="dotted" w:color="auto" w:sz="4" w:space="0"/>
              <w:left w:val="dotted" w:color="auto" w:sz="4" w:space="0"/>
              <w:bottom w:val="dotted" w:color="auto" w:sz="4" w:space="0"/>
              <w:right w:val="dotted" w:color="auto" w:sz="4" w:space="0"/>
            </w:tcBorders>
            <w:vAlign w:val="center"/>
          </w:tcPr>
          <w:p w14:paraId="581E04F7">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3.8</w:t>
            </w:r>
          </w:p>
        </w:tc>
        <w:tc>
          <w:tcPr>
            <w:tcW w:w="1134" w:type="dxa"/>
            <w:tcBorders>
              <w:top w:val="dotted" w:color="auto" w:sz="4" w:space="0"/>
              <w:left w:val="dotted" w:color="auto" w:sz="4" w:space="0"/>
              <w:bottom w:val="dotted" w:color="auto" w:sz="4" w:space="0"/>
              <w:right w:val="dotted" w:color="auto" w:sz="4" w:space="0"/>
            </w:tcBorders>
            <w:vAlign w:val="center"/>
          </w:tcPr>
          <w:p w14:paraId="12B16BCC">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3B81327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4E69675C">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exact"/>
          <w:jc w:val="center"/>
        </w:trPr>
        <w:tc>
          <w:tcPr>
            <w:tcW w:w="687" w:type="dxa"/>
            <w:vMerge w:val="continue"/>
            <w:tcBorders>
              <w:left w:val="nil"/>
              <w:right w:val="dotted" w:color="auto" w:sz="4" w:space="0"/>
            </w:tcBorders>
            <w:vAlign w:val="center"/>
          </w:tcPr>
          <w:p w14:paraId="51098A6B">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7610180A">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25</w:t>
            </w:r>
          </w:p>
        </w:tc>
        <w:tc>
          <w:tcPr>
            <w:tcW w:w="3353" w:type="dxa"/>
            <w:tcBorders>
              <w:top w:val="dotted" w:color="auto" w:sz="4" w:space="0"/>
              <w:left w:val="dotted" w:color="auto" w:sz="4" w:space="0"/>
              <w:bottom w:val="dotted" w:color="auto" w:sz="4" w:space="0"/>
              <w:right w:val="dotted" w:color="auto" w:sz="4" w:space="0"/>
            </w:tcBorders>
            <w:vAlign w:val="center"/>
          </w:tcPr>
          <w:p w14:paraId="62772A6C">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文化产业增加值占地区生产总值比重</w:t>
            </w:r>
          </w:p>
        </w:tc>
        <w:tc>
          <w:tcPr>
            <w:tcW w:w="740" w:type="dxa"/>
            <w:tcBorders>
              <w:top w:val="dotted" w:color="auto" w:sz="4" w:space="0"/>
              <w:left w:val="dotted" w:color="auto" w:sz="4" w:space="0"/>
              <w:bottom w:val="dotted" w:color="auto" w:sz="4" w:space="0"/>
              <w:right w:val="dotted" w:color="auto" w:sz="4" w:space="0"/>
            </w:tcBorders>
            <w:vAlign w:val="center"/>
          </w:tcPr>
          <w:p w14:paraId="10A35591">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65165777">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提高0.2个百分点</w:t>
            </w:r>
          </w:p>
        </w:tc>
        <w:tc>
          <w:tcPr>
            <w:tcW w:w="2873" w:type="dxa"/>
            <w:gridSpan w:val="3"/>
            <w:tcBorders>
              <w:top w:val="dotted" w:color="auto" w:sz="4" w:space="0"/>
              <w:left w:val="dotted" w:color="auto" w:sz="4" w:space="0"/>
              <w:bottom w:val="dotted" w:color="auto" w:sz="4" w:space="0"/>
              <w:right w:val="nil"/>
            </w:tcBorders>
            <w:vAlign w:val="center"/>
          </w:tcPr>
          <w:p w14:paraId="25266E7D">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年度指标</w:t>
            </w:r>
          </w:p>
        </w:tc>
      </w:tr>
      <w:tr w14:paraId="35D1BB35">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continue"/>
            <w:tcBorders>
              <w:left w:val="nil"/>
              <w:bottom w:val="dotted" w:color="auto" w:sz="4" w:space="0"/>
              <w:right w:val="dotted" w:color="auto" w:sz="4" w:space="0"/>
            </w:tcBorders>
            <w:vAlign w:val="center"/>
          </w:tcPr>
          <w:p w14:paraId="3CAF05DF">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21810080">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26</w:t>
            </w:r>
          </w:p>
        </w:tc>
        <w:tc>
          <w:tcPr>
            <w:tcW w:w="3353" w:type="dxa"/>
            <w:tcBorders>
              <w:top w:val="dotted" w:color="auto" w:sz="4" w:space="0"/>
              <w:left w:val="dotted" w:color="auto" w:sz="4" w:space="0"/>
              <w:bottom w:val="dotted" w:color="auto" w:sz="4" w:space="0"/>
              <w:right w:val="dotted" w:color="auto" w:sz="4" w:space="0"/>
            </w:tcBorders>
            <w:vAlign w:val="center"/>
          </w:tcPr>
          <w:p w14:paraId="6CFCE2B9">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全体居民人均可支配收入增速</w:t>
            </w:r>
          </w:p>
        </w:tc>
        <w:tc>
          <w:tcPr>
            <w:tcW w:w="740" w:type="dxa"/>
            <w:tcBorders>
              <w:top w:val="dotted" w:color="auto" w:sz="4" w:space="0"/>
              <w:left w:val="dotted" w:color="auto" w:sz="4" w:space="0"/>
              <w:bottom w:val="dotted" w:color="auto" w:sz="4" w:space="0"/>
              <w:right w:val="dotted" w:color="auto" w:sz="4" w:space="0"/>
            </w:tcBorders>
            <w:vAlign w:val="center"/>
          </w:tcPr>
          <w:p w14:paraId="3C92C43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657DAF11">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与经济增长基本同步</w:t>
            </w:r>
          </w:p>
        </w:tc>
        <w:tc>
          <w:tcPr>
            <w:tcW w:w="819" w:type="dxa"/>
            <w:tcBorders>
              <w:top w:val="dotted" w:color="auto" w:sz="4" w:space="0"/>
              <w:left w:val="dotted" w:color="auto" w:sz="4" w:space="0"/>
              <w:bottom w:val="dotted" w:color="auto" w:sz="4" w:space="0"/>
              <w:right w:val="dotted" w:color="auto" w:sz="4" w:space="0"/>
            </w:tcBorders>
            <w:vAlign w:val="center"/>
          </w:tcPr>
          <w:p w14:paraId="21B2178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30421</w:t>
            </w:r>
          </w:p>
        </w:tc>
        <w:tc>
          <w:tcPr>
            <w:tcW w:w="1134" w:type="dxa"/>
            <w:tcBorders>
              <w:top w:val="dotted" w:color="auto" w:sz="4" w:space="0"/>
              <w:left w:val="dotted" w:color="auto" w:sz="4" w:space="0"/>
              <w:bottom w:val="dotted" w:color="auto" w:sz="4" w:space="0"/>
              <w:right w:val="dotted" w:color="auto" w:sz="4" w:space="0"/>
            </w:tcBorders>
            <w:vAlign w:val="center"/>
          </w:tcPr>
          <w:p w14:paraId="483CCB7D">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4.3</w:t>
            </w:r>
          </w:p>
        </w:tc>
        <w:tc>
          <w:tcPr>
            <w:tcW w:w="920" w:type="dxa"/>
            <w:tcBorders>
              <w:top w:val="dotted" w:color="auto" w:sz="4" w:space="0"/>
              <w:left w:val="dotted" w:color="auto" w:sz="4" w:space="0"/>
              <w:bottom w:val="dotted" w:color="auto" w:sz="4" w:space="0"/>
              <w:right w:val="nil"/>
            </w:tcBorders>
            <w:vAlign w:val="center"/>
          </w:tcPr>
          <w:p w14:paraId="5F575E8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1CE83AEE">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restart"/>
            <w:tcBorders>
              <w:top w:val="dotted" w:color="auto" w:sz="4" w:space="0"/>
              <w:left w:val="nil"/>
              <w:right w:val="dotted" w:color="auto" w:sz="4" w:space="0"/>
            </w:tcBorders>
            <w:vAlign w:val="center"/>
          </w:tcPr>
          <w:p w14:paraId="4A079E25">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生态环境</w:t>
            </w:r>
          </w:p>
        </w:tc>
        <w:tc>
          <w:tcPr>
            <w:tcW w:w="621" w:type="dxa"/>
            <w:tcBorders>
              <w:top w:val="dotted" w:color="auto" w:sz="4" w:space="0"/>
              <w:left w:val="dotted" w:color="auto" w:sz="4" w:space="0"/>
              <w:bottom w:val="dotted" w:color="auto" w:sz="4" w:space="0"/>
              <w:right w:val="dotted" w:color="auto" w:sz="4" w:space="0"/>
            </w:tcBorders>
            <w:vAlign w:val="center"/>
          </w:tcPr>
          <w:p w14:paraId="214ACCA2">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27</w:t>
            </w:r>
          </w:p>
        </w:tc>
        <w:tc>
          <w:tcPr>
            <w:tcW w:w="3353" w:type="dxa"/>
            <w:tcBorders>
              <w:top w:val="dotted" w:color="auto" w:sz="4" w:space="0"/>
              <w:left w:val="dotted" w:color="auto" w:sz="4" w:space="0"/>
              <w:bottom w:val="dotted" w:color="auto" w:sz="4" w:space="0"/>
              <w:right w:val="dotted" w:color="auto" w:sz="4" w:space="0"/>
            </w:tcBorders>
            <w:vAlign w:val="center"/>
          </w:tcPr>
          <w:p w14:paraId="4D991880">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单位工业增加值能耗下降</w:t>
            </w:r>
          </w:p>
        </w:tc>
        <w:tc>
          <w:tcPr>
            <w:tcW w:w="740" w:type="dxa"/>
            <w:tcBorders>
              <w:top w:val="dotted" w:color="auto" w:sz="4" w:space="0"/>
              <w:left w:val="dotted" w:color="auto" w:sz="4" w:space="0"/>
              <w:bottom w:val="dotted" w:color="auto" w:sz="4" w:space="0"/>
              <w:right w:val="dotted" w:color="auto" w:sz="4" w:space="0"/>
            </w:tcBorders>
            <w:vAlign w:val="center"/>
          </w:tcPr>
          <w:p w14:paraId="054DC271">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132917A9">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达市定目标</w:t>
            </w:r>
          </w:p>
        </w:tc>
        <w:tc>
          <w:tcPr>
            <w:tcW w:w="819" w:type="dxa"/>
            <w:tcBorders>
              <w:top w:val="dotted" w:color="auto" w:sz="4" w:space="0"/>
              <w:left w:val="dotted" w:color="auto" w:sz="4" w:space="0"/>
              <w:bottom w:val="dotted" w:color="auto" w:sz="4" w:space="0"/>
              <w:right w:val="dotted" w:color="auto" w:sz="4" w:space="0"/>
            </w:tcBorders>
            <w:vAlign w:val="center"/>
          </w:tcPr>
          <w:p w14:paraId="2A7D611F">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0.17</w:t>
            </w:r>
          </w:p>
        </w:tc>
        <w:tc>
          <w:tcPr>
            <w:tcW w:w="1134" w:type="dxa"/>
            <w:tcBorders>
              <w:top w:val="dotted" w:color="auto" w:sz="4" w:space="0"/>
              <w:left w:val="dotted" w:color="auto" w:sz="4" w:space="0"/>
              <w:bottom w:val="dotted" w:color="auto" w:sz="4" w:space="0"/>
              <w:right w:val="dotted" w:color="auto" w:sz="4" w:space="0"/>
            </w:tcBorders>
            <w:vAlign w:val="center"/>
          </w:tcPr>
          <w:p w14:paraId="2703BAFB">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5528E50E">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否</w:t>
            </w:r>
          </w:p>
        </w:tc>
      </w:tr>
      <w:tr w14:paraId="70937C16">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exact"/>
          <w:jc w:val="center"/>
        </w:trPr>
        <w:tc>
          <w:tcPr>
            <w:tcW w:w="687" w:type="dxa"/>
            <w:vMerge w:val="continue"/>
            <w:tcBorders>
              <w:left w:val="nil"/>
              <w:right w:val="dotted" w:color="auto" w:sz="4" w:space="0"/>
            </w:tcBorders>
          </w:tcPr>
          <w:p w14:paraId="14298512">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17E2B764">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28</w:t>
            </w:r>
          </w:p>
        </w:tc>
        <w:tc>
          <w:tcPr>
            <w:tcW w:w="3353" w:type="dxa"/>
            <w:tcBorders>
              <w:top w:val="dotted" w:color="auto" w:sz="4" w:space="0"/>
              <w:left w:val="dotted" w:color="auto" w:sz="4" w:space="0"/>
              <w:bottom w:val="dotted" w:color="auto" w:sz="4" w:space="0"/>
              <w:right w:val="dotted" w:color="auto" w:sz="4" w:space="0"/>
            </w:tcBorders>
            <w:vAlign w:val="center"/>
          </w:tcPr>
          <w:p w14:paraId="6FA2457A">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空气质量达到二级标准以上天数比例</w:t>
            </w:r>
          </w:p>
        </w:tc>
        <w:tc>
          <w:tcPr>
            <w:tcW w:w="740" w:type="dxa"/>
            <w:tcBorders>
              <w:top w:val="dotted" w:color="auto" w:sz="4" w:space="0"/>
              <w:left w:val="dotted" w:color="auto" w:sz="4" w:space="0"/>
              <w:bottom w:val="dotted" w:color="auto" w:sz="4" w:space="0"/>
              <w:right w:val="dotted" w:color="auto" w:sz="4" w:space="0"/>
            </w:tcBorders>
            <w:vAlign w:val="center"/>
          </w:tcPr>
          <w:p w14:paraId="3F50447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055F7FD9">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达市定目标</w:t>
            </w:r>
          </w:p>
        </w:tc>
        <w:tc>
          <w:tcPr>
            <w:tcW w:w="819" w:type="dxa"/>
            <w:tcBorders>
              <w:top w:val="dotted" w:color="auto" w:sz="4" w:space="0"/>
              <w:left w:val="dotted" w:color="auto" w:sz="4" w:space="0"/>
              <w:bottom w:val="dotted" w:color="auto" w:sz="4" w:space="0"/>
              <w:right w:val="dotted" w:color="auto" w:sz="4" w:space="0"/>
            </w:tcBorders>
            <w:vAlign w:val="center"/>
          </w:tcPr>
          <w:p w14:paraId="3BB8498D">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79.1</w:t>
            </w:r>
          </w:p>
        </w:tc>
        <w:tc>
          <w:tcPr>
            <w:tcW w:w="1134" w:type="dxa"/>
            <w:tcBorders>
              <w:top w:val="dotted" w:color="auto" w:sz="4" w:space="0"/>
              <w:left w:val="dotted" w:color="auto" w:sz="4" w:space="0"/>
              <w:bottom w:val="dotted" w:color="auto" w:sz="4" w:space="0"/>
              <w:right w:val="dotted" w:color="auto" w:sz="4" w:space="0"/>
            </w:tcBorders>
            <w:vAlign w:val="center"/>
          </w:tcPr>
          <w:p w14:paraId="27EA7606">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68BE88D0">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否</w:t>
            </w:r>
          </w:p>
        </w:tc>
      </w:tr>
      <w:tr w14:paraId="6924CEFE">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87" w:type="dxa"/>
            <w:vMerge w:val="continue"/>
            <w:tcBorders>
              <w:left w:val="nil"/>
              <w:right w:val="dotted" w:color="auto" w:sz="4" w:space="0"/>
            </w:tcBorders>
            <w:vAlign w:val="center"/>
          </w:tcPr>
          <w:p w14:paraId="650C40BD">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221C907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29</w:t>
            </w:r>
          </w:p>
        </w:tc>
        <w:tc>
          <w:tcPr>
            <w:tcW w:w="3353" w:type="dxa"/>
            <w:tcBorders>
              <w:top w:val="dotted" w:color="auto" w:sz="4" w:space="0"/>
              <w:left w:val="dotted" w:color="auto" w:sz="4" w:space="0"/>
              <w:bottom w:val="dotted" w:color="auto" w:sz="4" w:space="0"/>
              <w:right w:val="dotted" w:color="auto" w:sz="4" w:space="0"/>
            </w:tcBorders>
            <w:vAlign w:val="center"/>
          </w:tcPr>
          <w:p w14:paraId="3CDEFE19">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细颗粒物（PM</w:t>
            </w:r>
            <w:r>
              <w:rPr>
                <w:rFonts w:hint="default" w:ascii="Times New Roman" w:hAnsi="Times New Roman" w:eastAsia="方正仿宋简体" w:cs="Times New Roman"/>
                <w:sz w:val="20"/>
                <w:szCs w:val="20"/>
                <w:vertAlign w:val="subscript"/>
              </w:rPr>
              <w:t>2.5</w:t>
            </w:r>
            <w:r>
              <w:rPr>
                <w:rFonts w:hint="default" w:ascii="Times New Roman" w:hAnsi="Times New Roman" w:eastAsia="方正仿宋简体" w:cs="Times New Roman"/>
                <w:sz w:val="20"/>
                <w:szCs w:val="20"/>
              </w:rPr>
              <w:t>）浓度</w:t>
            </w:r>
          </w:p>
        </w:tc>
        <w:tc>
          <w:tcPr>
            <w:tcW w:w="740" w:type="dxa"/>
            <w:tcBorders>
              <w:top w:val="dotted" w:color="auto" w:sz="4" w:space="0"/>
              <w:left w:val="dotted" w:color="auto" w:sz="4" w:space="0"/>
              <w:bottom w:val="dotted" w:color="auto" w:sz="4" w:space="0"/>
              <w:right w:val="dotted" w:color="auto" w:sz="4" w:space="0"/>
            </w:tcBorders>
            <w:vAlign w:val="center"/>
          </w:tcPr>
          <w:p w14:paraId="51C6C8E4">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5215BB6D">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达市定目标</w:t>
            </w:r>
          </w:p>
        </w:tc>
        <w:tc>
          <w:tcPr>
            <w:tcW w:w="819" w:type="dxa"/>
            <w:tcBorders>
              <w:top w:val="dotted" w:color="auto" w:sz="4" w:space="0"/>
              <w:left w:val="dotted" w:color="auto" w:sz="4" w:space="0"/>
              <w:bottom w:val="dotted" w:color="auto" w:sz="4" w:space="0"/>
              <w:right w:val="nil"/>
            </w:tcBorders>
            <w:vAlign w:val="center"/>
          </w:tcPr>
          <w:p w14:paraId="26C43451">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32.4</w:t>
            </w:r>
          </w:p>
        </w:tc>
        <w:tc>
          <w:tcPr>
            <w:tcW w:w="1134" w:type="dxa"/>
            <w:tcBorders>
              <w:top w:val="dotted" w:color="auto" w:sz="4" w:space="0"/>
              <w:left w:val="dotted" w:color="auto" w:sz="4" w:space="0"/>
              <w:bottom w:val="dotted" w:color="auto" w:sz="4" w:space="0"/>
              <w:right w:val="nil"/>
            </w:tcBorders>
            <w:vAlign w:val="center"/>
          </w:tcPr>
          <w:p w14:paraId="5017DA9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3E29EAE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否</w:t>
            </w:r>
          </w:p>
        </w:tc>
      </w:tr>
      <w:tr w14:paraId="133EAB98">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exact"/>
          <w:jc w:val="center"/>
        </w:trPr>
        <w:tc>
          <w:tcPr>
            <w:tcW w:w="687" w:type="dxa"/>
            <w:vMerge w:val="continue"/>
            <w:tcBorders>
              <w:left w:val="nil"/>
              <w:bottom w:val="dotted" w:color="auto" w:sz="4" w:space="0"/>
              <w:right w:val="dotted" w:color="auto" w:sz="4" w:space="0"/>
            </w:tcBorders>
            <w:vAlign w:val="center"/>
          </w:tcPr>
          <w:p w14:paraId="4425DFE2">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7C0AB35F">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30</w:t>
            </w:r>
          </w:p>
        </w:tc>
        <w:tc>
          <w:tcPr>
            <w:tcW w:w="3353" w:type="dxa"/>
            <w:tcBorders>
              <w:top w:val="dotted" w:color="auto" w:sz="4" w:space="0"/>
              <w:left w:val="dotted" w:color="auto" w:sz="4" w:space="0"/>
              <w:bottom w:val="dotted" w:color="auto" w:sz="4" w:space="0"/>
              <w:right w:val="dotted" w:color="auto" w:sz="4" w:space="0"/>
            </w:tcBorders>
            <w:vAlign w:val="center"/>
          </w:tcPr>
          <w:p w14:paraId="41902E49">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地表水省考断面达到或好于Ⅲ类水质比例</w:t>
            </w:r>
          </w:p>
        </w:tc>
        <w:tc>
          <w:tcPr>
            <w:tcW w:w="740" w:type="dxa"/>
            <w:tcBorders>
              <w:top w:val="dotted" w:color="auto" w:sz="4" w:space="0"/>
              <w:left w:val="dotted" w:color="auto" w:sz="4" w:space="0"/>
              <w:bottom w:val="dotted" w:color="auto" w:sz="4" w:space="0"/>
              <w:right w:val="dotted" w:color="auto" w:sz="4" w:space="0"/>
            </w:tcBorders>
            <w:vAlign w:val="center"/>
          </w:tcPr>
          <w:p w14:paraId="534C7A37">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37F965B3">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达市定目标</w:t>
            </w:r>
          </w:p>
        </w:tc>
        <w:tc>
          <w:tcPr>
            <w:tcW w:w="819" w:type="dxa"/>
            <w:tcBorders>
              <w:top w:val="dotted" w:color="auto" w:sz="4" w:space="0"/>
              <w:left w:val="dotted" w:color="auto" w:sz="4" w:space="0"/>
              <w:bottom w:val="dotted" w:color="auto" w:sz="4" w:space="0"/>
              <w:right w:val="nil"/>
            </w:tcBorders>
            <w:vAlign w:val="center"/>
          </w:tcPr>
          <w:p w14:paraId="75BF5612">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100</w:t>
            </w:r>
          </w:p>
        </w:tc>
        <w:tc>
          <w:tcPr>
            <w:tcW w:w="1134" w:type="dxa"/>
            <w:tcBorders>
              <w:top w:val="dotted" w:color="auto" w:sz="4" w:space="0"/>
              <w:left w:val="dotted" w:color="auto" w:sz="4" w:space="0"/>
              <w:bottom w:val="dotted" w:color="auto" w:sz="4" w:space="0"/>
              <w:right w:val="nil"/>
            </w:tcBorders>
            <w:vAlign w:val="center"/>
          </w:tcPr>
          <w:p w14:paraId="4855ECC5">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236921B4">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7FE827D8">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exact"/>
          <w:jc w:val="center"/>
        </w:trPr>
        <w:tc>
          <w:tcPr>
            <w:tcW w:w="687" w:type="dxa"/>
            <w:vMerge w:val="restart"/>
            <w:tcBorders>
              <w:top w:val="dotted" w:color="auto" w:sz="4" w:space="0"/>
              <w:left w:val="nil"/>
              <w:bottom w:val="dotted" w:color="auto" w:sz="4" w:space="0"/>
              <w:right w:val="dotted" w:color="auto" w:sz="4" w:space="0"/>
            </w:tcBorders>
            <w:vAlign w:val="center"/>
          </w:tcPr>
          <w:p w14:paraId="66499858">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安全韧性</w:t>
            </w:r>
          </w:p>
        </w:tc>
        <w:tc>
          <w:tcPr>
            <w:tcW w:w="621" w:type="dxa"/>
            <w:tcBorders>
              <w:top w:val="dotted" w:color="auto" w:sz="4" w:space="0"/>
              <w:left w:val="dotted" w:color="auto" w:sz="4" w:space="0"/>
              <w:bottom w:val="dotted" w:color="auto" w:sz="4" w:space="0"/>
              <w:right w:val="dotted" w:color="auto" w:sz="4" w:space="0"/>
            </w:tcBorders>
            <w:vAlign w:val="center"/>
          </w:tcPr>
          <w:p w14:paraId="306655AA">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31</w:t>
            </w:r>
          </w:p>
        </w:tc>
        <w:tc>
          <w:tcPr>
            <w:tcW w:w="3353" w:type="dxa"/>
            <w:tcBorders>
              <w:top w:val="dotted" w:color="auto" w:sz="4" w:space="0"/>
              <w:left w:val="dotted" w:color="auto" w:sz="4" w:space="0"/>
              <w:bottom w:val="dotted" w:color="auto" w:sz="4" w:space="0"/>
              <w:right w:val="dotted" w:color="auto" w:sz="4" w:space="0"/>
            </w:tcBorders>
            <w:vAlign w:val="center"/>
          </w:tcPr>
          <w:p w14:paraId="60F13199">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粮食综合生产能力</w:t>
            </w:r>
          </w:p>
        </w:tc>
        <w:tc>
          <w:tcPr>
            <w:tcW w:w="740" w:type="dxa"/>
            <w:tcBorders>
              <w:top w:val="dotted" w:color="auto" w:sz="4" w:space="0"/>
              <w:left w:val="dotted" w:color="auto" w:sz="4" w:space="0"/>
              <w:bottom w:val="dotted" w:color="auto" w:sz="4" w:space="0"/>
              <w:right w:val="dotted" w:color="auto" w:sz="4" w:space="0"/>
            </w:tcBorders>
            <w:vAlign w:val="center"/>
          </w:tcPr>
          <w:p w14:paraId="2008A86E">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07324261">
            <w:pPr>
              <w:spacing w:line="240" w:lineRule="exact"/>
              <w:jc w:val="center"/>
              <w:rPr>
                <w:rFonts w:hint="default" w:ascii="Times New Roman" w:hAnsi="Times New Roman" w:eastAsia="方正仿宋简体" w:cs="Times New Roman"/>
                <w:snapToGrid w:val="0"/>
                <w:sz w:val="20"/>
                <w:szCs w:val="20"/>
              </w:rPr>
            </w:pPr>
            <w:r>
              <w:rPr>
                <w:rFonts w:hint="default" w:ascii="Times New Roman" w:hAnsi="Times New Roman" w:eastAsia="方正仿宋简体" w:cs="Times New Roman"/>
                <w:snapToGrid w:val="0"/>
                <w:sz w:val="20"/>
                <w:szCs w:val="20"/>
              </w:rPr>
              <w:t>达市考核目标</w:t>
            </w:r>
          </w:p>
        </w:tc>
        <w:tc>
          <w:tcPr>
            <w:tcW w:w="2873" w:type="dxa"/>
            <w:gridSpan w:val="3"/>
            <w:tcBorders>
              <w:top w:val="dotted" w:color="auto" w:sz="4" w:space="0"/>
              <w:left w:val="dotted" w:color="auto" w:sz="4" w:space="0"/>
              <w:bottom w:val="dotted" w:color="auto" w:sz="4" w:space="0"/>
              <w:right w:val="nil"/>
            </w:tcBorders>
            <w:vAlign w:val="center"/>
          </w:tcPr>
          <w:p w14:paraId="16CA916D">
            <w:pPr>
              <w:spacing w:line="28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夏粮播种面积36.4万亩</w:t>
            </w:r>
          </w:p>
          <w:p w14:paraId="2E29427B">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夏粮总产12.85万吨</w:t>
            </w:r>
          </w:p>
        </w:tc>
      </w:tr>
      <w:tr w14:paraId="4705CABF">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exact"/>
          <w:jc w:val="center"/>
        </w:trPr>
        <w:tc>
          <w:tcPr>
            <w:tcW w:w="687" w:type="dxa"/>
            <w:vMerge w:val="continue"/>
            <w:tcBorders>
              <w:top w:val="dotted" w:color="auto" w:sz="4" w:space="0"/>
              <w:left w:val="nil"/>
              <w:bottom w:val="dotted" w:color="auto" w:sz="4" w:space="0"/>
              <w:right w:val="dotted" w:color="auto" w:sz="4" w:space="0"/>
            </w:tcBorders>
            <w:vAlign w:val="center"/>
          </w:tcPr>
          <w:p w14:paraId="084D8E65">
            <w:pPr>
              <w:spacing w:line="240" w:lineRule="exact"/>
              <w:jc w:val="center"/>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225C7529">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32</w:t>
            </w:r>
          </w:p>
        </w:tc>
        <w:tc>
          <w:tcPr>
            <w:tcW w:w="3353" w:type="dxa"/>
            <w:tcBorders>
              <w:top w:val="dotted" w:color="auto" w:sz="4" w:space="0"/>
              <w:left w:val="dotted" w:color="auto" w:sz="4" w:space="0"/>
              <w:bottom w:val="dotted" w:color="auto" w:sz="4" w:space="0"/>
              <w:right w:val="dotted" w:color="auto" w:sz="4" w:space="0"/>
            </w:tcBorders>
            <w:vAlign w:val="center"/>
          </w:tcPr>
          <w:p w14:paraId="50076FC6">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耕地保有量</w:t>
            </w:r>
          </w:p>
        </w:tc>
        <w:tc>
          <w:tcPr>
            <w:tcW w:w="740" w:type="dxa"/>
            <w:tcBorders>
              <w:top w:val="dotted" w:color="auto" w:sz="4" w:space="0"/>
              <w:left w:val="dotted" w:color="auto" w:sz="4" w:space="0"/>
              <w:bottom w:val="dotted" w:color="auto" w:sz="4" w:space="0"/>
              <w:right w:val="dotted" w:color="auto" w:sz="4" w:space="0"/>
            </w:tcBorders>
            <w:vAlign w:val="center"/>
          </w:tcPr>
          <w:p w14:paraId="4857DC84">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万公顷</w:t>
            </w:r>
          </w:p>
        </w:tc>
        <w:tc>
          <w:tcPr>
            <w:tcW w:w="2016" w:type="dxa"/>
            <w:tcBorders>
              <w:top w:val="dotted" w:color="auto" w:sz="4" w:space="0"/>
              <w:left w:val="dotted" w:color="auto" w:sz="4" w:space="0"/>
              <w:bottom w:val="dotted" w:color="auto" w:sz="4" w:space="0"/>
              <w:right w:val="dotted" w:color="auto" w:sz="4" w:space="0"/>
            </w:tcBorders>
            <w:vAlign w:val="center"/>
          </w:tcPr>
          <w:p w14:paraId="6DB388C5">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5.196</w:t>
            </w:r>
          </w:p>
        </w:tc>
        <w:tc>
          <w:tcPr>
            <w:tcW w:w="819" w:type="dxa"/>
            <w:tcBorders>
              <w:top w:val="dotted" w:color="auto" w:sz="4" w:space="0"/>
              <w:left w:val="dotted" w:color="auto" w:sz="4" w:space="0"/>
              <w:bottom w:val="dotted" w:color="auto" w:sz="4" w:space="0"/>
              <w:right w:val="dotted" w:color="auto" w:sz="4" w:space="0"/>
            </w:tcBorders>
            <w:vAlign w:val="center"/>
          </w:tcPr>
          <w:p w14:paraId="1B92DF16">
            <w:pPr>
              <w:spacing w:line="30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5.263</w:t>
            </w:r>
          </w:p>
        </w:tc>
        <w:tc>
          <w:tcPr>
            <w:tcW w:w="1134" w:type="dxa"/>
            <w:tcBorders>
              <w:top w:val="dotted" w:color="auto" w:sz="4" w:space="0"/>
              <w:left w:val="dotted" w:color="auto" w:sz="4" w:space="0"/>
              <w:bottom w:val="dotted" w:color="auto" w:sz="4" w:space="0"/>
              <w:right w:val="dotted" w:color="auto" w:sz="4" w:space="0"/>
            </w:tcBorders>
            <w:vAlign w:val="center"/>
          </w:tcPr>
          <w:p w14:paraId="6C8509A9">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920" w:type="dxa"/>
            <w:tcBorders>
              <w:top w:val="dotted" w:color="auto" w:sz="4" w:space="0"/>
              <w:left w:val="dotted" w:color="auto" w:sz="4" w:space="0"/>
              <w:bottom w:val="dotted" w:color="auto" w:sz="4" w:space="0"/>
              <w:right w:val="nil"/>
            </w:tcBorders>
            <w:vAlign w:val="center"/>
          </w:tcPr>
          <w:p w14:paraId="46D07ADA">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是</w:t>
            </w:r>
          </w:p>
        </w:tc>
      </w:tr>
      <w:tr w14:paraId="5A419092">
        <w:tblPrEx>
          <w:tblBorders>
            <w:top w:val="double" w:color="auto" w:sz="4" w:space="0"/>
            <w:left w:val="none" w:color="auto" w:sz="0" w:space="0"/>
            <w:bottom w:val="dotted"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exact"/>
          <w:jc w:val="center"/>
        </w:trPr>
        <w:tc>
          <w:tcPr>
            <w:tcW w:w="687" w:type="dxa"/>
            <w:vMerge w:val="continue"/>
            <w:tcBorders>
              <w:top w:val="dotted" w:color="auto" w:sz="4" w:space="0"/>
              <w:left w:val="nil"/>
              <w:bottom w:val="dotted" w:color="auto" w:sz="4" w:space="0"/>
              <w:right w:val="dotted" w:color="auto" w:sz="4" w:space="0"/>
            </w:tcBorders>
          </w:tcPr>
          <w:p w14:paraId="443FDB27">
            <w:pPr>
              <w:spacing w:line="240" w:lineRule="exact"/>
              <w:rPr>
                <w:rFonts w:hint="default" w:ascii="Times New Roman" w:hAnsi="Times New Roman" w:eastAsia="方正仿宋简体" w:cs="Times New Roman"/>
                <w:sz w:val="20"/>
                <w:szCs w:val="20"/>
              </w:rPr>
            </w:pPr>
          </w:p>
        </w:tc>
        <w:tc>
          <w:tcPr>
            <w:tcW w:w="621" w:type="dxa"/>
            <w:tcBorders>
              <w:top w:val="dotted" w:color="auto" w:sz="4" w:space="0"/>
              <w:left w:val="dotted" w:color="auto" w:sz="4" w:space="0"/>
              <w:bottom w:val="dotted" w:color="auto" w:sz="4" w:space="0"/>
              <w:right w:val="dotted" w:color="auto" w:sz="4" w:space="0"/>
            </w:tcBorders>
            <w:vAlign w:val="center"/>
          </w:tcPr>
          <w:p w14:paraId="60C731DF">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33</w:t>
            </w:r>
          </w:p>
        </w:tc>
        <w:tc>
          <w:tcPr>
            <w:tcW w:w="3353" w:type="dxa"/>
            <w:tcBorders>
              <w:top w:val="dotted" w:color="auto" w:sz="4" w:space="0"/>
              <w:left w:val="dotted" w:color="auto" w:sz="4" w:space="0"/>
              <w:bottom w:val="dotted" w:color="auto" w:sz="4" w:space="0"/>
              <w:right w:val="dotted" w:color="auto" w:sz="4" w:space="0"/>
            </w:tcBorders>
            <w:vAlign w:val="center"/>
          </w:tcPr>
          <w:p w14:paraId="54D11585">
            <w:pPr>
              <w:spacing w:line="240" w:lineRule="exact"/>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安全生产发展水平</w:t>
            </w:r>
          </w:p>
        </w:tc>
        <w:tc>
          <w:tcPr>
            <w:tcW w:w="740" w:type="dxa"/>
            <w:tcBorders>
              <w:top w:val="dotted" w:color="auto" w:sz="4" w:space="0"/>
              <w:left w:val="dotted" w:color="auto" w:sz="4" w:space="0"/>
              <w:bottom w:val="dotted" w:color="auto" w:sz="4" w:space="0"/>
              <w:right w:val="dotted" w:color="auto" w:sz="4" w:space="0"/>
            </w:tcBorders>
            <w:vAlign w:val="center"/>
          </w:tcPr>
          <w:p w14:paraId="74338387">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w:t>
            </w:r>
          </w:p>
        </w:tc>
        <w:tc>
          <w:tcPr>
            <w:tcW w:w="2016" w:type="dxa"/>
            <w:tcBorders>
              <w:top w:val="dotted" w:color="auto" w:sz="4" w:space="0"/>
              <w:left w:val="dotted" w:color="auto" w:sz="4" w:space="0"/>
              <w:bottom w:val="dotted" w:color="auto" w:sz="4" w:space="0"/>
              <w:right w:val="dotted" w:color="auto" w:sz="4" w:space="0"/>
            </w:tcBorders>
            <w:vAlign w:val="center"/>
          </w:tcPr>
          <w:p w14:paraId="7749C7AD">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napToGrid w:val="0"/>
                <w:sz w:val="20"/>
                <w:szCs w:val="20"/>
              </w:rPr>
              <w:t>达市考核目标</w:t>
            </w:r>
          </w:p>
        </w:tc>
        <w:tc>
          <w:tcPr>
            <w:tcW w:w="2873" w:type="dxa"/>
            <w:gridSpan w:val="3"/>
            <w:tcBorders>
              <w:top w:val="dotted" w:color="auto" w:sz="4" w:space="0"/>
              <w:left w:val="dotted" w:color="auto" w:sz="4" w:space="0"/>
              <w:bottom w:val="dotted" w:color="auto" w:sz="4" w:space="0"/>
              <w:right w:val="nil"/>
            </w:tcBorders>
            <w:vAlign w:val="center"/>
          </w:tcPr>
          <w:p w14:paraId="647E3EF1">
            <w:pPr>
              <w:spacing w:line="240" w:lineRule="exact"/>
              <w:jc w:val="center"/>
              <w:rPr>
                <w:rFonts w:hint="default" w:ascii="Times New Roman" w:hAnsi="Times New Roman" w:eastAsia="方正仿宋简体" w:cs="Times New Roman"/>
                <w:sz w:val="20"/>
                <w:szCs w:val="20"/>
              </w:rPr>
            </w:pPr>
            <w:r>
              <w:rPr>
                <w:rFonts w:hint="default" w:ascii="Times New Roman" w:hAnsi="Times New Roman" w:eastAsia="方正仿宋简体" w:cs="Times New Roman"/>
                <w:sz w:val="20"/>
                <w:szCs w:val="20"/>
              </w:rPr>
              <w:t>达市考核目标</w:t>
            </w:r>
          </w:p>
        </w:tc>
      </w:tr>
    </w:tbl>
    <w:p w14:paraId="52F546D7">
      <w:pPr>
        <w:spacing w:line="550" w:lineRule="exact"/>
        <w:ind w:firstLine="640" w:firstLineChars="200"/>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（二）重点项目进展情况</w:t>
      </w:r>
    </w:p>
    <w:p w14:paraId="46A8E252">
      <w:pPr>
        <w:spacing w:line="55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2024年全区重大项目153个</w:t>
      </w:r>
      <w:r>
        <w:rPr>
          <w:rFonts w:hint="default" w:ascii="Times New Roman" w:hAnsi="Times New Roman" w:eastAsia="方正楷体简体" w:cs="Times New Roman"/>
          <w:sz w:val="32"/>
          <w:szCs w:val="32"/>
        </w:rPr>
        <w:t>（续建78个、新开工55个、力争开工20个）</w:t>
      </w:r>
      <w:r>
        <w:rPr>
          <w:rFonts w:hint="default" w:ascii="Times New Roman" w:hAnsi="Times New Roman" w:eastAsia="方正仿宋简体" w:cs="Times New Roman"/>
          <w:sz w:val="32"/>
          <w:szCs w:val="32"/>
        </w:rPr>
        <w:t>，总投资1233.6亿元，当年计划投资177.2亿元。上半年实施项目130个，实施率达97.7%，完成统计投资138.2亿元、占年度计划的78%；其中，产业类项目实施76个，实施率达97.4%，完成当年计划投资67.8%。18个市重大实施项目</w:t>
      </w:r>
      <w:r>
        <w:rPr>
          <w:rFonts w:hint="default" w:ascii="Times New Roman" w:hAnsi="Times New Roman" w:eastAsia="方正楷体简体" w:cs="Times New Roman"/>
          <w:sz w:val="32"/>
          <w:szCs w:val="32"/>
        </w:rPr>
        <w:t>（续建10个、新开工8个）</w:t>
      </w:r>
      <w:r>
        <w:rPr>
          <w:rFonts w:hint="default" w:ascii="Times New Roman" w:hAnsi="Times New Roman" w:eastAsia="方正仿宋简体" w:cs="Times New Roman"/>
          <w:sz w:val="32"/>
          <w:szCs w:val="32"/>
        </w:rPr>
        <w:t>实施率达100%，完成投资41.8亿元、占年度计划的99.5%。市、区重大项目投资完成率均超序时进度要求。政府投资A类项目76个，当年计划投资66.4亿元，上半年项目实施率82.9%，投资完成率58%。</w:t>
      </w:r>
    </w:p>
    <w:p w14:paraId="70038AEB">
      <w:pPr>
        <w:spacing w:line="550" w:lineRule="exact"/>
        <w:ind w:firstLine="640" w:firstLineChars="200"/>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（三）主要工作成效</w:t>
      </w:r>
    </w:p>
    <w:p w14:paraId="486F31AA">
      <w:pPr>
        <w:spacing w:line="55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列入2024年人代会计划的产业转型升级、经济循环发展、深化改革开放、宜居城市建设、增进民生福祉等五个方面重点工作取得明显成效。</w:t>
      </w:r>
      <w:r>
        <w:rPr>
          <w:rFonts w:hint="default" w:ascii="Times New Roman" w:hAnsi="Times New Roman" w:eastAsia="方正仿宋简体" w:cs="Times New Roman"/>
          <w:color w:val="000000" w:themeColor="text1"/>
          <w:sz w:val="32"/>
          <w:szCs w:val="32"/>
          <w14:textFill>
            <w14:solidFill>
              <w14:schemeClr w14:val="tx1"/>
            </w14:solidFill>
          </w14:textFill>
        </w:rPr>
        <w:t>在全市“五拼五比晒五榜”竞赛活动中，获得拼招商比突破“热力榜”、拼创新比转化“动力榜”、拼服务比效率“能力</w:t>
      </w:r>
      <w:r>
        <w:rPr>
          <w:rFonts w:hint="default" w:ascii="Times New Roman" w:hAnsi="Times New Roman" w:eastAsia="方正仿宋简体" w:cs="Times New Roman"/>
          <w:sz w:val="32"/>
          <w:szCs w:val="32"/>
        </w:rPr>
        <w:t>榜”红旗激励。</w:t>
      </w:r>
    </w:p>
    <w:p w14:paraId="74BE2D55">
      <w:pPr>
        <w:pStyle w:val="10"/>
        <w:spacing w:beforeAutospacing="0" w:afterAutospacing="0" w:line="550" w:lineRule="exact"/>
        <w:ind w:firstLine="643" w:firstLineChars="200"/>
        <w:jc w:val="both"/>
        <w:rPr>
          <w:rFonts w:hint="default" w:ascii="Times New Roman" w:hAnsi="Times New Roman" w:eastAsia="方正仿宋简体" w:cs="Times New Roman"/>
          <w:b/>
          <w:bCs/>
          <w:sz w:val="32"/>
          <w:szCs w:val="32"/>
        </w:rPr>
      </w:pPr>
      <w:bookmarkStart w:id="0" w:name="_Hlk172034732"/>
      <w:r>
        <w:rPr>
          <w:rFonts w:hint="default" w:ascii="Times New Roman" w:hAnsi="Times New Roman" w:eastAsia="方正仿宋简体" w:cs="Times New Roman"/>
          <w:b/>
          <w:bCs/>
          <w:sz w:val="32"/>
          <w:szCs w:val="40"/>
        </w:rPr>
        <w:t>1.聚焦创新驱动促发展，</w:t>
      </w:r>
      <w:bookmarkEnd w:id="0"/>
      <w:r>
        <w:rPr>
          <w:rFonts w:hint="default" w:ascii="Times New Roman" w:hAnsi="Times New Roman" w:eastAsia="方正仿宋简体" w:cs="Times New Roman"/>
          <w:b/>
          <w:bCs/>
          <w:sz w:val="32"/>
          <w:szCs w:val="32"/>
        </w:rPr>
        <w:t>产业转型蹄疾步稳</w:t>
      </w:r>
    </w:p>
    <w:p w14:paraId="0461F31D">
      <w:pPr>
        <w:pStyle w:val="10"/>
        <w:spacing w:beforeAutospacing="0" w:afterAutospacing="0" w:line="550" w:lineRule="exact"/>
        <w:ind w:firstLine="643" w:firstLineChars="200"/>
        <w:jc w:val="both"/>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40"/>
        </w:rPr>
        <w:t>创新动能加速积聚。</w:t>
      </w:r>
      <w:r>
        <w:rPr>
          <w:rFonts w:hint="default" w:ascii="Times New Roman" w:hAnsi="Times New Roman" w:eastAsia="方正仿宋简体" w:cs="Times New Roman"/>
          <w:sz w:val="32"/>
          <w:szCs w:val="32"/>
        </w:rPr>
        <w:t>围绕“501科创产业带”加快构建六合产业科技创新港“一港两城六片区”空间布局，</w:t>
      </w:r>
      <w:r>
        <w:rPr>
          <w:rFonts w:hint="default" w:ascii="Times New Roman" w:hAnsi="Times New Roman" w:eastAsia="方正仿宋_GBK" w:cs="Times New Roman"/>
          <w:sz w:val="32"/>
          <w:szCs w:val="32"/>
        </w:rPr>
        <w:t>签约落地南师大灵岩产教融合研创区，</w:t>
      </w:r>
      <w:r>
        <w:rPr>
          <w:rFonts w:hint="default" w:ascii="Times New Roman" w:hAnsi="Times New Roman" w:eastAsia="方正仿宋简体" w:cs="Times New Roman"/>
          <w:sz w:val="32"/>
          <w:szCs w:val="32"/>
        </w:rPr>
        <w:t>累计引入5个全国重点实验室、6个省部级创新平台、8个央企校地联合实验室、</w:t>
      </w:r>
      <w:r>
        <w:rPr>
          <w:rFonts w:hint="default" w:ascii="Times New Roman" w:hAnsi="Times New Roman" w:eastAsia="方正仿宋简体" w:cs="Times New Roman"/>
          <w:color w:val="000000" w:themeColor="text1"/>
          <w:sz w:val="32"/>
          <w14:textFill>
            <w14:solidFill>
              <w14:schemeClr w14:val="tx1"/>
            </w14:solidFill>
          </w14:textFill>
        </w:rPr>
        <w:t>73个人才和产业化项目以及150多名高端人才</w:t>
      </w:r>
      <w:r>
        <w:rPr>
          <w:rFonts w:hint="default" w:ascii="Times New Roman" w:hAnsi="Times New Roman" w:eastAsia="方正仿宋简体" w:cs="Times New Roman"/>
          <w:sz w:val="32"/>
          <w:szCs w:val="32"/>
        </w:rPr>
        <w:t>；规上企业研发费用同比增长24.1%，新研机构及其孵化引进企业营收达30亿元、提前完成年度目标；申报国家重点人才工程A类64人次、市中青年拔尖人才17人、省国际合作项目1个。</w:t>
      </w:r>
      <w:r>
        <w:rPr>
          <w:rFonts w:hint="default" w:ascii="Times New Roman" w:hAnsi="Times New Roman" w:eastAsia="方正仿宋简体" w:cs="Times New Roman"/>
          <w:b/>
          <w:bCs/>
          <w:sz w:val="32"/>
          <w:szCs w:val="32"/>
        </w:rPr>
        <w:t>实体经济发展壮大。</w:t>
      </w:r>
      <w:r>
        <w:rPr>
          <w:rFonts w:hint="default" w:ascii="Times New Roman" w:hAnsi="Times New Roman" w:eastAsia="方正仿宋简体" w:cs="Times New Roman"/>
          <w:sz w:val="32"/>
          <w:szCs w:val="32"/>
        </w:rPr>
        <w:t>规上工业总产值同比增长13.7%、排名全市第1，其中新能源、</w:t>
      </w:r>
      <w:r>
        <w:rPr>
          <w:rFonts w:hint="default" w:ascii="Times New Roman" w:hAnsi="Times New Roman" w:eastAsia="方正仿宋简体" w:cs="Times New Roman"/>
          <w:sz w:val="32"/>
          <w:szCs w:val="32"/>
          <w:lang w:bidi="mn-Mong-CN"/>
        </w:rPr>
        <w:t>智能制造装备、节能环保新材料同比分别增长62%、23.7%、17.9%，</w:t>
      </w:r>
      <w:r>
        <w:rPr>
          <w:rFonts w:hint="default" w:ascii="Times New Roman" w:hAnsi="Times New Roman" w:eastAsia="方正仿宋简体" w:cs="Times New Roman"/>
          <w:sz w:val="32"/>
          <w:szCs w:val="32"/>
        </w:rPr>
        <w:t>航空航天产业初具规模，</w:t>
      </w:r>
      <w:r>
        <w:rPr>
          <w:rFonts w:hint="default" w:ascii="Times New Roman" w:hAnsi="Times New Roman" w:eastAsia="方正仿宋简体" w:cs="Times New Roman"/>
          <w:sz w:val="32"/>
          <w:szCs w:val="32"/>
          <w:lang w:bidi="mn-Mong-CN"/>
        </w:rPr>
        <w:t>开通“南航国际创新港和明故宫校区”低空物流航线，实现首个跨校区物流运输场景应用；新增创新型中小企业56家</w:t>
      </w:r>
      <w:r>
        <w:rPr>
          <w:rFonts w:hint="eastAsia" w:ascii="Times New Roman" w:hAnsi="Times New Roman" w:eastAsia="方正仿宋简体" w:cs="Times New Roman"/>
          <w:sz w:val="32"/>
          <w:szCs w:val="32"/>
          <w:lang w:eastAsia="zh-CN" w:bidi="mn-Mong-CN"/>
        </w:rPr>
        <w:t>、</w:t>
      </w:r>
      <w:r>
        <w:rPr>
          <w:rFonts w:hint="default" w:ascii="Times New Roman" w:hAnsi="Times New Roman" w:eastAsia="方正仿宋简体" w:cs="Times New Roman"/>
          <w:sz w:val="32"/>
          <w:szCs w:val="32"/>
        </w:rPr>
        <w:t>省级专精特新中小企业11家，</w:t>
      </w:r>
      <w:r>
        <w:rPr>
          <w:rFonts w:hint="default" w:ascii="Times New Roman" w:hAnsi="Times New Roman" w:eastAsia="方正仿宋简体" w:cs="Times New Roman"/>
          <w:color w:val="000000" w:themeColor="text1"/>
          <w:sz w:val="32"/>
          <w14:textFill>
            <w14:solidFill>
              <w14:schemeClr w14:val="tx1"/>
            </w14:solidFill>
          </w14:textFill>
        </w:rPr>
        <w:t>利德东方成为全区首家入选省级智能制造工厂名单企业</w:t>
      </w:r>
      <w:r>
        <w:rPr>
          <w:rFonts w:hint="default" w:ascii="Times New Roman" w:hAnsi="Times New Roman" w:eastAsia="方正仿宋简体" w:cs="Times New Roman"/>
          <w:sz w:val="32"/>
          <w:szCs w:val="32"/>
          <w:lang w:bidi="mn-Mong-CN"/>
        </w:rPr>
        <w:t>；</w:t>
      </w:r>
      <w:r>
        <w:rPr>
          <w:rFonts w:hint="default" w:ascii="Times New Roman" w:hAnsi="Times New Roman" w:eastAsia="方正仿宋简体" w:cs="Times New Roman"/>
          <w:sz w:val="32"/>
          <w:szCs w:val="32"/>
        </w:rPr>
        <w:t>参与GDP核算的规上服务业营收</w:t>
      </w:r>
      <w:r>
        <w:rPr>
          <w:rFonts w:hint="default" w:ascii="Times New Roman" w:hAnsi="Times New Roman" w:eastAsia="方正楷体简体" w:cs="Times New Roman"/>
          <w:sz w:val="32"/>
          <w:szCs w:val="32"/>
        </w:rPr>
        <w:t>（错月）</w:t>
      </w:r>
      <w:r>
        <w:rPr>
          <w:rFonts w:hint="default" w:ascii="Times New Roman" w:hAnsi="Times New Roman" w:eastAsia="方正仿宋简体" w:cs="Times New Roman"/>
          <w:sz w:val="32"/>
          <w:szCs w:val="32"/>
        </w:rPr>
        <w:t>增长21.9%、排名全市第1，其中软件信息传输业、科学技术服务业分别增长17.3%、20.1%。</w:t>
      </w:r>
      <w:r>
        <w:rPr>
          <w:rFonts w:hint="default" w:ascii="Times New Roman" w:hAnsi="Times New Roman" w:eastAsia="方正仿宋简体" w:cs="Times New Roman"/>
          <w:b/>
          <w:bCs/>
          <w:sz w:val="32"/>
          <w:szCs w:val="40"/>
          <w:lang w:bidi="ar"/>
        </w:rPr>
        <w:t>农旅融合高效发展。</w:t>
      </w:r>
      <w:r>
        <w:rPr>
          <w:rFonts w:hint="default" w:ascii="Times New Roman" w:hAnsi="Times New Roman" w:eastAsia="方正仿宋简体" w:cs="Times New Roman"/>
          <w:kern w:val="2"/>
          <w:sz w:val="32"/>
          <w:szCs w:val="32"/>
        </w:rPr>
        <w:t>集成推广良田良种良机良法，</w:t>
      </w:r>
      <w:r>
        <w:rPr>
          <w:rFonts w:hint="default" w:ascii="Times New Roman" w:hAnsi="Times New Roman" w:eastAsia="方正仿宋简体" w:cs="Times New Roman"/>
          <w:sz w:val="32"/>
          <w:szCs w:val="32"/>
        </w:rPr>
        <w:t>顺利完成夏收夏种工作，</w:t>
      </w:r>
      <w:r>
        <w:rPr>
          <w:rFonts w:hint="default" w:ascii="Times New Roman" w:hAnsi="Times New Roman" w:eastAsia="方正仿宋简体" w:cs="Times New Roman"/>
          <w:kern w:val="2"/>
          <w:sz w:val="32"/>
          <w:szCs w:val="32"/>
        </w:rPr>
        <w:t>2.21万亩高标准农田有序建设，</w:t>
      </w:r>
      <w:r>
        <w:rPr>
          <w:rFonts w:hint="default" w:ascii="Times New Roman" w:hAnsi="Times New Roman" w:eastAsia="方正仿宋简体" w:cs="Times New Roman"/>
          <w:sz w:val="32"/>
          <w:szCs w:val="32"/>
        </w:rPr>
        <w:t>一产增加值同比增长4%</w:t>
      </w:r>
      <w:r>
        <w:rPr>
          <w:rFonts w:hint="default" w:ascii="Times New Roman" w:hAnsi="Times New Roman" w:eastAsia="方正仿宋简体" w:cs="Times New Roman"/>
          <w:kern w:val="2"/>
          <w:sz w:val="32"/>
          <w:szCs w:val="32"/>
        </w:rPr>
        <w:t>；新引进落地投资千万元以上的农业企业7家，</w:t>
      </w:r>
      <w:r>
        <w:rPr>
          <w:rFonts w:hint="default" w:ascii="Times New Roman" w:hAnsi="Times New Roman" w:eastAsia="方正仿宋简体" w:cs="Times New Roman"/>
          <w:sz w:val="32"/>
          <w:szCs w:val="32"/>
        </w:rPr>
        <w:t>“茉莉六合”农产品区域公用品牌营收同比翻两番；</w:t>
      </w:r>
      <w:r>
        <w:rPr>
          <w:rFonts w:hint="default" w:ascii="Times New Roman" w:hAnsi="Times New Roman" w:eastAsia="仿宋" w:cs="Times New Roman"/>
          <w:sz w:val="32"/>
          <w:szCs w:val="32"/>
        </w:rPr>
        <w:t>竹镇省级红色旅游融合发展示范项目、池杉湖省级生态旅游示范区等创建工作有序推进，</w:t>
      </w:r>
      <w:r>
        <w:rPr>
          <w:rFonts w:hint="default" w:ascii="Times New Roman" w:hAnsi="Times New Roman" w:eastAsia="方正仿宋简体" w:cs="Times New Roman"/>
          <w:sz w:val="32"/>
          <w:szCs w:val="32"/>
        </w:rPr>
        <w:t>完成半亩花田、明莉晓苑等级民宿现场验收</w:t>
      </w:r>
      <w:r>
        <w:rPr>
          <w:rFonts w:hint="default" w:ascii="Times New Roman" w:hAnsi="Times New Roman" w:eastAsia="方正仿宋简体" w:cs="Times New Roman"/>
          <w:spacing w:val="10"/>
          <w:sz w:val="32"/>
          <w:szCs w:val="32"/>
        </w:rPr>
        <w:t>。</w:t>
      </w:r>
    </w:p>
    <w:p w14:paraId="60703FDE">
      <w:pPr>
        <w:pStyle w:val="6"/>
        <w:spacing w:line="550" w:lineRule="exact"/>
        <w:ind w:firstLine="643" w:firstLineChars="200"/>
        <w:rPr>
          <w:rFonts w:hint="default" w:ascii="Times New Roman" w:hAnsi="Times New Roman" w:cs="Times New Roman"/>
          <w:b/>
          <w:bCs/>
          <w:lang w:val="en-US"/>
        </w:rPr>
      </w:pPr>
      <w:bookmarkStart w:id="1" w:name="_Hlk172034794"/>
      <w:r>
        <w:rPr>
          <w:rFonts w:hint="default" w:ascii="Times New Roman" w:hAnsi="Times New Roman" w:cs="Times New Roman"/>
          <w:b/>
          <w:bCs/>
          <w:lang w:val="en-US"/>
        </w:rPr>
        <w:t>2.聚焦要素保障强支撑，内外循环持续畅通</w:t>
      </w:r>
    </w:p>
    <w:bookmarkEnd w:id="1"/>
    <w:p w14:paraId="65701A8C">
      <w:pPr>
        <w:adjustRightInd w:val="0"/>
        <w:snapToGrid w:val="0"/>
        <w:spacing w:line="550" w:lineRule="exact"/>
        <w:ind w:firstLine="643"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
          <w:bCs/>
          <w:sz w:val="32"/>
          <w:szCs w:val="32"/>
        </w:rPr>
        <w:t>资源要素高效保障</w:t>
      </w:r>
      <w:r>
        <w:rPr>
          <w:rFonts w:hint="default" w:ascii="Times New Roman" w:hAnsi="Times New Roman" w:eastAsia="方正仿宋简体" w:cs="Times New Roman"/>
          <w:b/>
          <w:bCs/>
          <w:kern w:val="0"/>
          <w:sz w:val="32"/>
          <w:szCs w:val="40"/>
          <w:lang w:bidi="ar"/>
        </w:rPr>
        <w:t>。</w:t>
      </w:r>
      <w:r>
        <w:rPr>
          <w:rFonts w:hint="default" w:ascii="Times New Roman" w:hAnsi="Times New Roman" w:eastAsia="方正仿宋简体" w:cs="Times New Roman"/>
          <w:bCs/>
          <w:sz w:val="32"/>
          <w:szCs w:val="32"/>
        </w:rPr>
        <w:t>统筹推进成片开发方案、村庄规划编制，</w:t>
      </w:r>
      <w:r>
        <w:rPr>
          <w:rFonts w:hint="default" w:ascii="Times New Roman" w:hAnsi="Times New Roman" w:eastAsia="方正仿宋简体" w:cs="Times New Roman"/>
          <w:kern w:val="0"/>
          <w:sz w:val="32"/>
          <w:szCs w:val="32"/>
        </w:rPr>
        <w:t>村庄规划覆盖率达73.6%；常态化推进项目“带方案挂牌+拿地即开工” ，有效缩短项目前期手续办理时间；累计为157家企业办理</w:t>
      </w:r>
      <w:r>
        <w:rPr>
          <w:rFonts w:hint="default" w:ascii="Times New Roman" w:hAnsi="Times New Roman" w:eastAsia="方正仿宋简体" w:cs="Times New Roman"/>
          <w:sz w:val="32"/>
          <w:szCs w:val="32"/>
        </w:rPr>
        <w:t>转贷业务，使用转贷基金8.6亿元，有效缓解中小企业融资难、融资贵问题；紧扣企业发展需求，实施补贴性职业培训3167人次，新增数字技能人才701人次，有效保障企业用工需求。</w:t>
      </w:r>
      <w:r>
        <w:rPr>
          <w:rFonts w:hint="default" w:ascii="Times New Roman" w:hAnsi="Times New Roman" w:eastAsia="方正仿宋简体" w:cs="Times New Roman"/>
          <w:b/>
          <w:bCs/>
          <w:kern w:val="0"/>
          <w:sz w:val="32"/>
          <w:szCs w:val="40"/>
          <w:lang w:bidi="ar"/>
        </w:rPr>
        <w:t>项目储备支撑有力。</w:t>
      </w:r>
      <w:r>
        <w:rPr>
          <w:rFonts w:hint="default" w:ascii="Times New Roman" w:hAnsi="Times New Roman" w:eastAsia="方正仿宋简体" w:cs="Times New Roman"/>
          <w:sz w:val="32"/>
          <w:szCs w:val="32"/>
        </w:rPr>
        <w:t>围绕“3+1”先进制造业产业集群，紧盯产业链重点企业、龙头领军企业，高精度对接意向项目，签约开工总投资50亿元的表面处理中心项目，累计招引项目50个、其中高能级项目2个，实现开工/运营31个，完成实际投资总额51.4亿元，均超额完成进度；持续加强政策研究和项目谋划，滚动储备政策性重大项目150个以上、总投资超千亿，7个项目通过第一批专项债审核</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4个项目成功申领超长期特别国债</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b/>
          <w:bCs/>
          <w:kern w:val="0"/>
          <w:sz w:val="32"/>
          <w:szCs w:val="40"/>
          <w:lang w:bidi="ar"/>
        </w:rPr>
        <w:t>消费潜力加快释放。</w:t>
      </w:r>
      <w:r>
        <w:rPr>
          <w:rFonts w:hint="default" w:ascii="Times New Roman" w:hAnsi="Times New Roman" w:eastAsia="方正仿宋简体" w:cs="Times New Roman"/>
          <w:sz w:val="32"/>
        </w:rPr>
        <w:t>持续开展“南京国际消费节”四季有约六合专场活动，打造消费新场景50多个，引进市、区首店近10家，组织13家企业参加市汽车消费补贴活动，限上商品销售额同比增长11.5%、排名全市第3；举办第22届南京帐篷大会、“六合大集”美食嘉年华等系列文旅活动，累计接待游客、旅游总收入分别达890万人次、96亿元，同比分别增长17.9%、15.6%；建成全市首个食品小微企业共享实验室，持续开展电子计价秤市场秩序集中整治，全面助力消费市场安全稳定。</w:t>
      </w:r>
    </w:p>
    <w:p w14:paraId="392ACF06">
      <w:pPr>
        <w:pStyle w:val="6"/>
        <w:spacing w:line="550" w:lineRule="exact"/>
        <w:ind w:firstLine="643" w:firstLineChars="200"/>
        <w:rPr>
          <w:rFonts w:hint="default" w:ascii="Times New Roman" w:hAnsi="Times New Roman" w:cs="Times New Roman"/>
          <w:b/>
          <w:bCs/>
          <w:lang w:val="en-US"/>
        </w:rPr>
      </w:pPr>
      <w:bookmarkStart w:id="2" w:name="_Hlk172034804"/>
      <w:r>
        <w:rPr>
          <w:rFonts w:hint="default" w:ascii="Times New Roman" w:hAnsi="Times New Roman" w:cs="Times New Roman"/>
          <w:b/>
          <w:bCs/>
          <w:lang w:val="en-US"/>
        </w:rPr>
        <w:t>3.聚焦改革开放优服务，发展活力加快释放</w:t>
      </w:r>
      <w:bookmarkEnd w:id="2"/>
    </w:p>
    <w:p w14:paraId="2A93090B">
      <w:pPr>
        <w:pStyle w:val="6"/>
        <w:spacing w:line="550" w:lineRule="exact"/>
        <w:ind w:firstLine="643" w:firstLineChars="200"/>
        <w:rPr>
          <w:rFonts w:hint="default" w:ascii="Times New Roman" w:hAnsi="Times New Roman" w:cs="Times New Roman"/>
        </w:rPr>
      </w:pPr>
      <w:r>
        <w:rPr>
          <w:rFonts w:hint="default" w:ascii="Times New Roman" w:hAnsi="Times New Roman" w:cs="Times New Roman"/>
          <w:b/>
          <w:bCs/>
          <w:kern w:val="0"/>
          <w:szCs w:val="40"/>
          <w:lang w:val="en-US" w:bidi="ar"/>
        </w:rPr>
        <w:t>营商环境持续优化。</w:t>
      </w:r>
      <w:r>
        <w:rPr>
          <w:rFonts w:hint="default" w:ascii="Times New Roman" w:hAnsi="Times New Roman" w:cs="Times New Roman"/>
          <w:lang w:val="en-US"/>
        </w:rPr>
        <w:t>推出企业诉求“一码通”平台，推动企业“急难愁盼”问题“一码直达”、闭环处理，政务服务效能提升度排名全市前列；</w:t>
      </w:r>
      <w:r>
        <w:rPr>
          <w:rFonts w:hint="default" w:ascii="Times New Roman" w:hAnsi="Times New Roman" w:cs="Times New Roman"/>
          <w:color w:val="000000" w:themeColor="text1"/>
          <w14:textFill>
            <w14:solidFill>
              <w14:schemeClr w14:val="tx1"/>
            </w14:solidFill>
          </w14:textFill>
        </w:rPr>
        <w:t>首家“亲清·政务港”进驻开发区、700多个事项实现“园区办”</w:t>
      </w:r>
      <w:r>
        <w:rPr>
          <w:rFonts w:hint="default" w:ascii="Times New Roman" w:hAnsi="Times New Roman" w:cs="Times New Roman"/>
        </w:rPr>
        <w:t>；</w:t>
      </w:r>
      <w:r>
        <w:rPr>
          <w:rFonts w:hint="default" w:ascii="Times New Roman" w:hAnsi="Times New Roman" w:cs="Times New Roman"/>
          <w:lang w:val="en-US"/>
        </w:rPr>
        <w:t>全面开展不动产“带押过户”登记，累计办理153笔、涉及抵押金额1.04亿元；完成全市首例经营性用地登记“零材料”办理和首宗集体建设用地首次登记“零材料”办理；在全市率先探索推出安全生产“白名单”管理制度，建立企业“首违免罚”事项清单，并深化跨部门综研联检，累计减少企业检查1078次。</w:t>
      </w:r>
      <w:r>
        <w:rPr>
          <w:rFonts w:hint="default" w:ascii="Times New Roman" w:hAnsi="Times New Roman" w:cs="Times New Roman"/>
          <w:b/>
          <w:bCs/>
          <w:kern w:val="0"/>
          <w:szCs w:val="40"/>
          <w:lang w:val="en-US" w:bidi="ar"/>
        </w:rPr>
        <w:t>改革攻坚纵深推进。</w:t>
      </w:r>
      <w:r>
        <w:rPr>
          <w:rFonts w:hint="default" w:ascii="Times New Roman" w:hAnsi="Times New Roman" w:cs="Times New Roman"/>
          <w:lang w:val="en-US"/>
        </w:rPr>
        <w:t>有力有序抓好机构改革任务，调整优化重点领域机构，完善街镇机构设置，推进议事协调机构精简优化；</w:t>
      </w:r>
      <w:r>
        <w:rPr>
          <w:rFonts w:hint="default" w:ascii="Times New Roman" w:hAnsi="Times New Roman" w:cs="Times New Roman"/>
          <w:lang w:val="en-US" w:bidi="ar-SA"/>
        </w:rPr>
        <w:t>程桥入选省级农村宅基地改革“两项试点”任务，</w:t>
      </w:r>
      <w:r>
        <w:rPr>
          <w:rFonts w:hint="default" w:ascii="Times New Roman" w:hAnsi="Times New Roman" w:cs="Times New Roman"/>
          <w:lang w:val="en-US"/>
        </w:rPr>
        <w:t>有序推进第二轮土地承包到期后再延长三十年国家试点；区智慧城市运行指挥中心实现常态化运行，</w:t>
      </w:r>
      <w:r>
        <w:rPr>
          <w:rFonts w:hint="default" w:ascii="Times New Roman" w:hAnsi="Times New Roman" w:cs="Times New Roman"/>
          <w:lang w:val="en-US" w:bidi="ar-SA"/>
        </w:rPr>
        <w:t>市级数据共享、区内数据归集有序推进；盘活国有粮食资产近4000万元，完成茉莉香公司混合所有制改革；</w:t>
      </w:r>
      <w:r>
        <w:rPr>
          <w:rFonts w:hint="default" w:ascii="Times New Roman" w:hAnsi="Times New Roman" w:cs="Times New Roman"/>
        </w:rPr>
        <w:t>区中医院申请三级中医医院转设评审</w:t>
      </w:r>
      <w:r>
        <w:rPr>
          <w:rFonts w:hint="default" w:ascii="Times New Roman" w:hAnsi="Times New Roman" w:cs="Times New Roman"/>
          <w:lang w:val="en-US"/>
        </w:rPr>
        <w:t>，</w:t>
      </w:r>
      <w:r>
        <w:rPr>
          <w:rFonts w:hint="default" w:ascii="Times New Roman" w:hAnsi="Times New Roman" w:cs="Times New Roman"/>
          <w:color w:val="000000" w:themeColor="text1"/>
          <w:kern w:val="0"/>
          <w14:textFill>
            <w14:solidFill>
              <w14:schemeClr w14:val="tx1"/>
            </w14:solidFill>
          </w14:textFill>
        </w:rPr>
        <w:t>成功创成国家学前教育普及普惠区</w:t>
      </w:r>
      <w:r>
        <w:rPr>
          <w:rFonts w:hint="default" w:ascii="Times New Roman" w:hAnsi="Times New Roman" w:cs="Times New Roman"/>
        </w:rPr>
        <w:t>。</w:t>
      </w:r>
      <w:r>
        <w:rPr>
          <w:rFonts w:hint="default" w:ascii="Times New Roman" w:hAnsi="Times New Roman" w:cs="Times New Roman"/>
          <w:b/>
          <w:bCs/>
          <w:kern w:val="0"/>
          <w:szCs w:val="40"/>
          <w:lang w:val="en-US" w:bidi="ar"/>
        </w:rPr>
        <w:t>开放合作持续深入</w:t>
      </w:r>
      <w:r>
        <w:rPr>
          <w:rFonts w:hint="default" w:ascii="Times New Roman" w:hAnsi="Times New Roman" w:eastAsia="方正楷体简体" w:cs="Times New Roman"/>
          <w:b/>
          <w:bCs/>
          <w:lang w:val="en-US" w:bidi="ar-SA"/>
        </w:rPr>
        <w:t>。</w:t>
      </w:r>
      <w:r>
        <w:rPr>
          <w:rFonts w:hint="default" w:ascii="Times New Roman" w:hAnsi="Times New Roman" w:cs="Times New Roman"/>
          <w:lang w:val="en-US"/>
        </w:rPr>
        <w:t>全面融入国家发展战略，深化与毗邻地区合作，与江北新区、栖霞区围绕项目招引、基金投资、企业创新等方面建立合作机制；</w:t>
      </w:r>
      <w:r>
        <w:rPr>
          <w:rFonts w:hint="default" w:ascii="Times New Roman" w:hAnsi="Times New Roman" w:cs="Times New Roman"/>
          <w:szCs w:val="24"/>
          <w:lang w:bidi="ar-SA"/>
        </w:rPr>
        <w:t>帮助重点企业开拓中东、俄罗斯等新市场，扭转去年外贸颓势，上半年全区外贸进出口总额达42.8亿元、同比增长21.7%、排名全市第1；新增培育跨境电商企业6家，实现跨境电商交易额11.3亿元、同比增长220.7%</w:t>
      </w:r>
      <w:r>
        <w:rPr>
          <w:rFonts w:hint="default" w:ascii="Times New Roman" w:hAnsi="Times New Roman" w:cs="Times New Roman"/>
        </w:rPr>
        <w:t>。</w:t>
      </w:r>
    </w:p>
    <w:p w14:paraId="3D61024B">
      <w:pPr>
        <w:pStyle w:val="6"/>
        <w:spacing w:line="550" w:lineRule="exact"/>
        <w:ind w:firstLine="643" w:firstLineChars="200"/>
        <w:rPr>
          <w:rFonts w:hint="default" w:ascii="Times New Roman" w:hAnsi="Times New Roman" w:cs="Times New Roman"/>
          <w:b/>
          <w:bCs/>
          <w:lang w:val="en-US"/>
        </w:rPr>
      </w:pPr>
      <w:bookmarkStart w:id="3" w:name="_Hlk172034813"/>
      <w:r>
        <w:rPr>
          <w:rFonts w:hint="default" w:ascii="Times New Roman" w:hAnsi="Times New Roman" w:cs="Times New Roman"/>
          <w:b/>
          <w:bCs/>
          <w:lang w:val="en-US"/>
        </w:rPr>
        <w:t>4.聚焦城乡建设换新貌，宜居环境日益改善</w:t>
      </w:r>
    </w:p>
    <w:bookmarkEnd w:id="3"/>
    <w:p w14:paraId="03C211E2">
      <w:pPr>
        <w:pStyle w:val="6"/>
        <w:spacing w:line="550" w:lineRule="exact"/>
        <w:ind w:firstLine="643" w:firstLineChars="200"/>
        <w:rPr>
          <w:rFonts w:hint="default" w:ascii="Times New Roman" w:hAnsi="Times New Roman" w:cs="Times New Roman"/>
          <w:lang w:val="en-US"/>
        </w:rPr>
      </w:pPr>
      <w:r>
        <w:rPr>
          <w:rFonts w:hint="default" w:ascii="Times New Roman" w:hAnsi="Times New Roman" w:cs="Times New Roman"/>
          <w:b/>
          <w:bCs/>
          <w:kern w:val="0"/>
          <w:szCs w:val="40"/>
          <w:lang w:val="en-US" w:bidi="ar"/>
        </w:rPr>
        <w:t>基础设施提档升级。</w:t>
      </w:r>
      <w:r>
        <w:rPr>
          <w:rFonts w:hint="default" w:ascii="Times New Roman" w:hAnsi="Times New Roman" w:cs="Times New Roman"/>
          <w:lang w:val="en-US"/>
        </w:rPr>
        <w:t>北沿江高铁、宁淮城际铁路、501省道及宁盐、宁滁高速全面施工，328国道宁扬交界至龙池互通段项目横梁街道先导段预计9月完工；开工建设古棠大道、河滨九期等4条道路出新改造，北外街、六瓜公路分别完成年度投资的51%、62%；</w:t>
      </w:r>
      <w:r>
        <w:rPr>
          <w:rFonts w:hint="default" w:ascii="Times New Roman" w:hAnsi="Times New Roman" w:cs="Times New Roman"/>
        </w:rPr>
        <w:t>完成主城老旧供水管网改造0.77公里；甬沪宁输油管道龙袍新城段改线工程获省发改核准，望江路、公园北路等项目已基本完工。</w:t>
      </w:r>
      <w:r>
        <w:rPr>
          <w:rFonts w:hint="default" w:ascii="Times New Roman" w:hAnsi="Times New Roman" w:cs="Times New Roman"/>
          <w:b/>
          <w:bCs/>
          <w:kern w:val="0"/>
          <w:szCs w:val="40"/>
          <w:lang w:val="en-US" w:bidi="ar"/>
        </w:rPr>
        <w:t>城乡品质加速改善。</w:t>
      </w:r>
      <w:r>
        <w:rPr>
          <w:rFonts w:hint="default" w:ascii="Times New Roman" w:hAnsi="Times New Roman" w:cs="Times New Roman"/>
        </w:rPr>
        <w:t>完成5条背街小巷整治提升，</w:t>
      </w:r>
      <w:r>
        <w:rPr>
          <w:rFonts w:hint="default" w:ascii="Times New Roman" w:hAnsi="Times New Roman" w:cs="Times New Roman"/>
          <w:lang w:val="en-US"/>
        </w:rPr>
        <w:t>新改建公厕3座，</w:t>
      </w:r>
      <w:r>
        <w:rPr>
          <w:rFonts w:hint="default" w:ascii="Times New Roman" w:hAnsi="Times New Roman" w:cs="Times New Roman"/>
        </w:rPr>
        <w:t>新增机动车共享泊位1036个</w:t>
      </w:r>
      <w:r>
        <w:rPr>
          <w:rFonts w:hint="default" w:ascii="Times New Roman" w:hAnsi="Times New Roman" w:cs="Times New Roman"/>
          <w:lang w:val="en-US"/>
        </w:rPr>
        <w:t>；</w:t>
      </w:r>
      <w:r>
        <w:rPr>
          <w:rFonts w:hint="default" w:ascii="Times New Roman" w:hAnsi="Times New Roman" w:cs="Times New Roman"/>
        </w:rPr>
        <w:t>改建38个保障房小区电动自行车停放充电场所，新增充电位9000余个；</w:t>
      </w:r>
      <w:r>
        <w:rPr>
          <w:rFonts w:hint="default" w:ascii="Times New Roman" w:hAnsi="Times New Roman" w:cs="Times New Roman"/>
          <w:lang w:val="en-US"/>
        </w:rPr>
        <w:t>推进70个美丽乡村宜居村建设，完成雄州</w:t>
      </w:r>
      <w:r>
        <w:rPr>
          <w:rFonts w:hint="default" w:ascii="Times New Roman" w:hAnsi="Times New Roman" w:cs="Times New Roman"/>
          <w:kern w:val="0"/>
          <w:lang w:val="en-US" w:bidi="ar"/>
        </w:rPr>
        <w:t>祝夏、龙池悦来省级特色田园乡村综合评价。</w:t>
      </w:r>
      <w:r>
        <w:rPr>
          <w:rFonts w:hint="default" w:ascii="Times New Roman" w:hAnsi="Times New Roman" w:cs="Times New Roman"/>
          <w:b/>
          <w:bCs/>
          <w:lang w:val="en-US" w:bidi="ar-SA"/>
        </w:rPr>
        <w:t>污染防治有力有效</w:t>
      </w:r>
      <w:r>
        <w:rPr>
          <w:rFonts w:hint="default" w:ascii="Times New Roman" w:hAnsi="Times New Roman" w:eastAsia="方正楷体简体" w:cs="Times New Roman"/>
          <w:b/>
          <w:bCs/>
          <w:lang w:val="en-US" w:bidi="ar-SA"/>
        </w:rPr>
        <w:t>。</w:t>
      </w:r>
      <w:r>
        <w:rPr>
          <w:rFonts w:hint="default" w:ascii="Times New Roman" w:hAnsi="Times New Roman" w:cs="Times New Roman"/>
          <w:lang w:val="en-US"/>
        </w:rPr>
        <w:t>持续推进长江经济带生态环境问题自查排查和“回头看”，增殖放流鱼苗516.2万尾；推进9家铸造企业治气提升，规范整治餐饮服务单位113家，空气质量优良率同比提高2.3个百分点；对102家涉磷企业进行排查整治，国省考断面及入江支流水质均达标；</w:t>
      </w:r>
      <w:r>
        <w:rPr>
          <w:rFonts w:hint="default" w:ascii="Times New Roman" w:hAnsi="Times New Roman" w:cs="Times New Roman"/>
        </w:rPr>
        <w:t>六合生活垃圾填埋场封场及生态修复工程超序实施。</w:t>
      </w:r>
      <w:r>
        <w:rPr>
          <w:rFonts w:hint="default" w:ascii="Times New Roman" w:hAnsi="Times New Roman" w:cs="Times New Roman"/>
          <w:b/>
          <w:bCs/>
          <w:lang w:val="en-US" w:bidi="ar-SA"/>
        </w:rPr>
        <w:t>绿色低碳有序有度</w:t>
      </w:r>
      <w:r>
        <w:rPr>
          <w:rFonts w:hint="default" w:ascii="Times New Roman" w:hAnsi="Times New Roman" w:eastAsia="方正楷体简体" w:cs="Times New Roman"/>
          <w:b/>
          <w:bCs/>
          <w:lang w:val="en-US" w:bidi="ar-SA"/>
        </w:rPr>
        <w:t>。</w:t>
      </w:r>
      <w:r>
        <w:rPr>
          <w:rFonts w:hint="default" w:ascii="Times New Roman" w:hAnsi="Times New Roman" w:cs="Times New Roman"/>
          <w:lang w:val="en-US"/>
        </w:rPr>
        <w:t>签约总投资约72亿元的整区新能源开发建设项目，构建以新能源为主导的清洁、高效、智慧的能源体系；整区屋顶分布式光伏试点累计新增12.7万千瓦，规划目标完成率达120%；推进工业企业节能降耗和绿色发展，指导7家企业申报省级绿色工厂；</w:t>
      </w:r>
      <w:r>
        <w:rPr>
          <w:rFonts w:hint="default" w:ascii="Times New Roman" w:hAnsi="Times New Roman" w:cs="Times New Roman"/>
          <w:lang w:val="en-US" w:bidi="ar-SA"/>
        </w:rPr>
        <w:t>新建绿色建筑71.7万平方米，城镇新建绿色建筑占新建建筑比例100%</w:t>
      </w:r>
      <w:r>
        <w:rPr>
          <w:rFonts w:hint="default" w:ascii="Times New Roman" w:hAnsi="Times New Roman" w:cs="Times New Roman"/>
          <w:lang w:val="en-US"/>
        </w:rPr>
        <w:t>；金牛湖省级“生态岛”试验区试点项目获批复。</w:t>
      </w:r>
    </w:p>
    <w:p w14:paraId="009C21CB">
      <w:pPr>
        <w:spacing w:line="550" w:lineRule="exact"/>
        <w:ind w:firstLine="643" w:firstLineChars="200"/>
        <w:rPr>
          <w:rFonts w:hint="default" w:ascii="Times New Roman" w:hAnsi="Times New Roman" w:eastAsia="方正仿宋简体" w:cs="Times New Roman"/>
          <w:b/>
          <w:bCs/>
          <w:sz w:val="32"/>
          <w:szCs w:val="32"/>
        </w:rPr>
      </w:pPr>
      <w:bookmarkStart w:id="4" w:name="_Hlk172034820"/>
      <w:r>
        <w:rPr>
          <w:rFonts w:hint="default" w:ascii="Times New Roman" w:hAnsi="Times New Roman" w:eastAsia="方正仿宋简体" w:cs="Times New Roman"/>
          <w:b/>
          <w:bCs/>
          <w:sz w:val="32"/>
          <w:szCs w:val="32"/>
        </w:rPr>
        <w:t>5.聚焦人民生活谋福祉，治理效能显著提升</w:t>
      </w:r>
      <w:bookmarkEnd w:id="4"/>
    </w:p>
    <w:p w14:paraId="02C387FA">
      <w:pPr>
        <w:spacing w:line="550" w:lineRule="exact"/>
        <w:ind w:firstLine="643"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民生保障走深走实</w:t>
      </w:r>
      <w:r>
        <w:rPr>
          <w:rFonts w:hint="default" w:ascii="Times New Roman" w:hAnsi="Times New Roman" w:eastAsia="方正楷体简体" w:cs="Times New Roman"/>
          <w:b/>
          <w:bCs/>
          <w:sz w:val="32"/>
          <w:szCs w:val="32"/>
        </w:rPr>
        <w:t>。</w:t>
      </w:r>
      <w:r>
        <w:rPr>
          <w:rFonts w:hint="default" w:ascii="Times New Roman" w:hAnsi="Times New Roman" w:eastAsia="方正仿宋简体" w:cs="Times New Roman"/>
          <w:sz w:val="32"/>
          <w:szCs w:val="32"/>
        </w:rPr>
        <w:t>聚焦高校毕业生、农民工、退捕渔民等重点群体举办线上线下招聘活动，提供就业岗位3.2万余个次；企业职工基本养老保险、工伤保险参保人数均完成目标95%左右；实施富民强村工程，村集体经营性收入达2.16亿元，村均225.4万元、同比增长22.7%；关爱“一老一小”，新建雄州综合养老服务中心，每千人0-3岁婴幼儿</w:t>
      </w:r>
      <w:r>
        <w:rPr>
          <w:rFonts w:hint="default" w:ascii="Times New Roman" w:hAnsi="Times New Roman" w:eastAsia="方正仿宋简体" w:cs="Times New Roman"/>
          <w:kern w:val="21"/>
          <w:sz w:val="32"/>
          <w:szCs w:val="32"/>
        </w:rPr>
        <w:t>托位数达4.8个；按序推进针织厂B地块、朝天街2号4号地块安置房项目建设。</w:t>
      </w:r>
      <w:r>
        <w:rPr>
          <w:rFonts w:hint="default" w:ascii="Times New Roman" w:hAnsi="Times New Roman" w:eastAsia="方正仿宋简体" w:cs="Times New Roman"/>
          <w:b/>
          <w:bCs/>
          <w:sz w:val="32"/>
          <w:szCs w:val="32"/>
        </w:rPr>
        <w:t>公共服务扩面提质</w:t>
      </w:r>
      <w:r>
        <w:rPr>
          <w:rFonts w:hint="default" w:ascii="Times New Roman" w:hAnsi="Times New Roman" w:eastAsia="方正楷体简体" w:cs="Times New Roman"/>
          <w:b/>
          <w:bCs/>
          <w:sz w:val="32"/>
          <w:szCs w:val="32"/>
        </w:rPr>
        <w:t>。</w:t>
      </w:r>
      <w:r>
        <w:rPr>
          <w:rFonts w:hint="default" w:ascii="Times New Roman" w:hAnsi="Times New Roman" w:eastAsia="方正仿宋简体" w:cs="Times New Roman"/>
          <w:color w:val="000000" w:themeColor="text1"/>
          <w:kern w:val="0"/>
          <w:sz w:val="32"/>
          <w14:textFill>
            <w14:solidFill>
              <w14:schemeClr w14:val="tx1"/>
            </w14:solidFill>
          </w14:textFill>
        </w:rPr>
        <w:t>人民医院新建病房楼及医疗专项工程竣工验收，</w:t>
      </w:r>
      <w:r>
        <w:rPr>
          <w:rFonts w:hint="default" w:ascii="Times New Roman" w:hAnsi="Times New Roman" w:eastAsia="方正仿宋简体" w:cs="Times New Roman"/>
          <w:sz w:val="32"/>
          <w:szCs w:val="32"/>
        </w:rPr>
        <w:t>推进6家单位甲级卫生室或标准化卫生室创建；新增“</w:t>
      </w:r>
      <w:bookmarkStart w:id="5" w:name="_Hlk172194783"/>
      <w:r>
        <w:rPr>
          <w:rFonts w:hint="default" w:ascii="Times New Roman" w:hAnsi="Times New Roman" w:eastAsia="方正仿宋简体" w:cs="Times New Roman"/>
          <w:sz w:val="32"/>
          <w:szCs w:val="32"/>
        </w:rPr>
        <w:t>15分钟医保服务圈</w:t>
      </w:r>
      <w:bookmarkEnd w:id="5"/>
      <w:r>
        <w:rPr>
          <w:rFonts w:hint="default" w:ascii="Times New Roman" w:hAnsi="Times New Roman" w:eastAsia="方正仿宋简体" w:cs="Times New Roman"/>
          <w:sz w:val="32"/>
          <w:szCs w:val="32"/>
        </w:rPr>
        <w:t>”银行/商保延伸服务点4个、二级医疗机构服务点3个；复兴路初中、南师大附属六合实验学校建成投用，新增市级优质幼儿园1所；举办文化活动1570场次、服务人次增长218.7%；承办市级以上体育赛事4场，组织各类全民健身活动102场次。</w:t>
      </w:r>
      <w:r>
        <w:rPr>
          <w:rFonts w:hint="default" w:ascii="Times New Roman" w:hAnsi="Times New Roman" w:eastAsia="方正仿宋简体" w:cs="Times New Roman"/>
          <w:b/>
          <w:bCs/>
          <w:sz w:val="32"/>
          <w:szCs w:val="32"/>
        </w:rPr>
        <w:t>安全治理精准高效</w:t>
      </w:r>
      <w:r>
        <w:rPr>
          <w:rFonts w:hint="default" w:ascii="Times New Roman" w:hAnsi="Times New Roman" w:eastAsia="方正楷体简体" w:cs="Times New Roman"/>
          <w:b/>
          <w:bCs/>
          <w:sz w:val="32"/>
          <w:szCs w:val="32"/>
        </w:rPr>
        <w:t>。</w:t>
      </w:r>
      <w:r>
        <w:rPr>
          <w:rFonts w:hint="default" w:ascii="Times New Roman" w:hAnsi="Times New Roman" w:eastAsia="方正仿宋简体" w:cs="Times New Roman"/>
          <w:sz w:val="32"/>
          <w:szCs w:val="32"/>
        </w:rPr>
        <w:t>深入实施“精网微格”提升工程，推进“枫桥式派出所”“枫桥式人民法庭”品牌创建，累计调解矛盾纠纷5575起；深入开展安全生产“治本攻坚”三年行动和消防除患攻坚“1+4”专项整治，排查整改各类安全隐患9.1万条，</w:t>
      </w:r>
      <w:r>
        <w:rPr>
          <w:rFonts w:hint="default" w:ascii="Times New Roman" w:hAnsi="Times New Roman" w:eastAsia="方正仿宋简体" w:cs="Times New Roman"/>
          <w:color w:val="000000" w:themeColor="text1"/>
          <w:sz w:val="32"/>
          <w14:textFill>
            <w14:solidFill>
              <w14:schemeClr w14:val="tx1"/>
            </w14:solidFill>
          </w14:textFill>
        </w:rPr>
        <w:t>“应急—消防”一体化工作站完成能力提升，安全生产形势总体平稳</w:t>
      </w:r>
      <w:r>
        <w:rPr>
          <w:rFonts w:hint="default" w:ascii="Times New Roman" w:hAnsi="Times New Roman" w:eastAsia="方正仿宋简体" w:cs="Times New Roman"/>
          <w:sz w:val="32"/>
          <w:szCs w:val="32"/>
        </w:rPr>
        <w:t>；积极攻坚化解各类信访问题45件，获评省信访工作示范区；开展1.6万余家企业金融风险排查，</w:t>
      </w:r>
      <w:r>
        <w:rPr>
          <w:rFonts w:hint="default" w:ascii="Times New Roman" w:hAnsi="Times New Roman" w:eastAsia="方正仿宋简体" w:cs="Times New Roman"/>
          <w:color w:val="000000" w:themeColor="text1"/>
          <w:sz w:val="32"/>
          <w14:textFill>
            <w14:solidFill>
              <w14:schemeClr w14:val="tx1"/>
            </w14:solidFill>
          </w14:textFill>
        </w:rPr>
        <w:t>完成恒大保交楼</w:t>
      </w:r>
      <w:r>
        <w:rPr>
          <w:rFonts w:hint="default" w:ascii="Times New Roman" w:hAnsi="Times New Roman" w:eastAsia="方正仿宋简体" w:cs="Times New Roman"/>
          <w:color w:val="000000"/>
          <w:sz w:val="32"/>
        </w:rPr>
        <w:t>工作</w:t>
      </w:r>
      <w:r>
        <w:rPr>
          <w:rFonts w:hint="default" w:ascii="Times New Roman" w:hAnsi="Times New Roman" w:eastAsia="方正仿宋简体" w:cs="Times New Roman"/>
          <w:color w:val="000000" w:themeColor="text1"/>
          <w:sz w:val="32"/>
          <w14:textFill>
            <w14:solidFill>
              <w14:schemeClr w14:val="tx1"/>
            </w14:solidFill>
          </w14:textFill>
        </w:rPr>
        <w:t>，</w:t>
      </w:r>
      <w:r>
        <w:rPr>
          <w:rFonts w:hint="default" w:ascii="Times New Roman" w:hAnsi="Times New Roman" w:eastAsia="方正仿宋简体" w:cs="Times New Roman"/>
          <w:sz w:val="32"/>
          <w:szCs w:val="32"/>
        </w:rPr>
        <w:t>有效化解各类风险隐患，</w:t>
      </w:r>
      <w:r>
        <w:rPr>
          <w:rFonts w:hint="default" w:ascii="Times New Roman" w:hAnsi="Times New Roman" w:eastAsia="方正仿宋简体" w:cs="Times New Roman"/>
          <w:color w:val="000000" w:themeColor="text1"/>
          <w:sz w:val="32"/>
          <w14:textFill>
            <w14:solidFill>
              <w14:schemeClr w14:val="tx1"/>
            </w14:solidFill>
          </w14:textFill>
        </w:rPr>
        <w:t>刑事发案、交通事故起数分别下降39.1%、21.9%，群众安全感满意度、网格知晓率满意率等均位居全市前列</w:t>
      </w:r>
      <w:r>
        <w:rPr>
          <w:rFonts w:hint="default" w:ascii="Times New Roman" w:hAnsi="Times New Roman" w:eastAsia="方正仿宋简体" w:cs="Times New Roman"/>
          <w:sz w:val="32"/>
          <w:szCs w:val="32"/>
        </w:rPr>
        <w:t>。</w:t>
      </w:r>
    </w:p>
    <w:p w14:paraId="3A4ABDF8">
      <w:pPr>
        <w:pStyle w:val="6"/>
        <w:spacing w:line="550" w:lineRule="exact"/>
        <w:ind w:firstLine="640" w:firstLineChars="200"/>
        <w:rPr>
          <w:rFonts w:hint="default" w:ascii="Times New Roman" w:hAnsi="Times New Roman" w:cs="Times New Roman"/>
        </w:rPr>
      </w:pPr>
      <w:r>
        <w:rPr>
          <w:rFonts w:hint="default" w:ascii="Times New Roman" w:hAnsi="Times New Roman" w:cs="Times New Roman"/>
        </w:rPr>
        <w:t>上半年，面对复杂严峻的内外形势，全区上下迎难而上、真抓实干，经济社会发展取得了较好成绩。在肯定成绩的同时，</w:t>
      </w:r>
      <w:r>
        <w:rPr>
          <w:rFonts w:hint="default" w:ascii="Times New Roman" w:hAnsi="Times New Roman" w:eastAsia="方正仿宋_GBK" w:cs="Times New Roman"/>
        </w:rPr>
        <w:t>我们也清醒认识到，</w:t>
      </w:r>
      <w:r>
        <w:rPr>
          <w:rFonts w:hint="default" w:ascii="Times New Roman" w:hAnsi="Times New Roman" w:cs="Times New Roman"/>
        </w:rPr>
        <w:t>全区经济体量较小，</w:t>
      </w:r>
      <w:r>
        <w:rPr>
          <w:rFonts w:hint="default" w:ascii="Times New Roman" w:hAnsi="Times New Roman" w:cs="Times New Roman"/>
          <w:lang w:val="en-US"/>
        </w:rPr>
        <w:t>产业链条不够齐全，科技创新和数智化水平有待提高，</w:t>
      </w:r>
      <w:r>
        <w:rPr>
          <w:rFonts w:hint="default" w:ascii="Times New Roman" w:hAnsi="Times New Roman" w:cs="Times New Roman"/>
        </w:rPr>
        <w:t>城乡功能品质还需进一步优化，优质公共服务供给与群众期待相比仍有一定差距。</w:t>
      </w:r>
      <w:r>
        <w:rPr>
          <w:rFonts w:hint="default" w:ascii="Times New Roman" w:hAnsi="Times New Roman" w:eastAsia="方正仿宋_GBK" w:cs="Times New Roman"/>
        </w:rPr>
        <w:t>针对这些问题，我们将采取有效措施、积极加以解决、回应群众关切。</w:t>
      </w:r>
    </w:p>
    <w:p w14:paraId="2CE3FA34">
      <w:pPr>
        <w:spacing w:line="550" w:lineRule="exact"/>
        <w:ind w:firstLine="640" w:firstLineChars="200"/>
        <w:rPr>
          <w:rFonts w:hint="default" w:ascii="Times New Roman" w:hAnsi="Times New Roman" w:eastAsia="方正黑体简体" w:cs="Times New Roman"/>
          <w:sz w:val="32"/>
          <w:szCs w:val="40"/>
        </w:rPr>
      </w:pPr>
      <w:r>
        <w:rPr>
          <w:rFonts w:hint="default" w:ascii="Times New Roman" w:hAnsi="Times New Roman" w:eastAsia="方正黑体简体" w:cs="Times New Roman"/>
          <w:sz w:val="32"/>
          <w:szCs w:val="40"/>
        </w:rPr>
        <w:t>二、下半年工作打算</w:t>
      </w:r>
    </w:p>
    <w:p w14:paraId="410273CF">
      <w:pPr>
        <w:spacing w:line="550" w:lineRule="exact"/>
        <w:ind w:firstLine="640" w:firstLineChars="200"/>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rPr>
        <w:t>我们将深入学习贯彻党的二十大和二十届二中、三中全会精神，全面落实习近平总书记参加十四届全国人大二次会议江苏代表团审议时的重要讲话精神，以经济发展提速增效行动为抓手，深入开展“十五五”规划前期研究，扎实推进各项工作任务，确保经济发展稳中有进，以优异成绩迎接新中国成立75周年。</w:t>
      </w:r>
    </w:p>
    <w:p w14:paraId="1621A84A">
      <w:pPr>
        <w:spacing w:line="550" w:lineRule="exact"/>
        <w:ind w:firstLine="640" w:firstLineChars="200"/>
        <w:rPr>
          <w:rFonts w:hint="default" w:ascii="Times New Roman" w:hAnsi="Times New Roman" w:eastAsia="方正仿宋简体" w:cs="Times New Roman"/>
          <w:sz w:val="32"/>
          <w:szCs w:val="40"/>
        </w:rPr>
      </w:pPr>
      <w:r>
        <w:rPr>
          <w:rFonts w:hint="default" w:ascii="Times New Roman" w:hAnsi="Times New Roman" w:eastAsia="方正楷体简体" w:cs="Times New Roman"/>
          <w:sz w:val="32"/>
          <w:szCs w:val="40"/>
        </w:rPr>
        <w:t>一是聚焦年度目标，在高质量发展上再进位</w:t>
      </w:r>
      <w:r>
        <w:rPr>
          <w:rFonts w:hint="default" w:ascii="Times New Roman" w:hAnsi="Times New Roman" w:eastAsia="方正仿宋简体" w:cs="Times New Roman"/>
          <w:sz w:val="32"/>
          <w:szCs w:val="40"/>
        </w:rPr>
        <w:t>。深入落实国家、省、市各项稳增长、促发展政策，用好“1+1+10”经济提速增效工作机制，持续做好经济运行监测分析，</w:t>
      </w:r>
      <w:r>
        <w:rPr>
          <w:rFonts w:hint="default" w:ascii="Times New Roman" w:hAnsi="Times New Roman" w:eastAsia="方正仿宋简体" w:cs="Times New Roman"/>
          <w:sz w:val="32"/>
          <w:szCs w:val="32"/>
        </w:rPr>
        <w:t>密切关注一般公共预算收入、固定资产投资等薄弱指标，实时跟踪重点企业生产经营情况，最大限度帮助企业解决实际困难，想方设法补齐经济发展短板弱项，确保高质量完成全年计划目标。全力以赴准备市对区高质量发展考核，紧盯经济、城建、生态、民生等各领域短板弱项，找准差距不足，专题研讨、逐项调度，争分夺秒弥补缺口、赶上进度，确保年底考核取得最好成绩。</w:t>
      </w:r>
    </w:p>
    <w:p w14:paraId="030D0DC1">
      <w:pPr>
        <w:spacing w:line="55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40"/>
        </w:rPr>
        <w:t>二是聚焦创新引领，在产业质效上再提升</w:t>
      </w:r>
      <w:r>
        <w:rPr>
          <w:rFonts w:hint="default" w:ascii="Times New Roman" w:hAnsi="Times New Roman" w:eastAsia="方正仿宋简体" w:cs="Times New Roman"/>
          <w:sz w:val="32"/>
          <w:szCs w:val="40"/>
        </w:rPr>
        <w:t>。充分发挥产业科技创新港引领作用，加快打造501科创产业带，全面优化创新创业环境，</w:t>
      </w:r>
      <w:r>
        <w:rPr>
          <w:rFonts w:hint="default" w:ascii="Times New Roman" w:hAnsi="Times New Roman" w:eastAsia="方正仿宋简体" w:cs="Times New Roman"/>
          <w:sz w:val="32"/>
          <w:szCs w:val="32"/>
        </w:rPr>
        <w:t>促进“大学+产业+园区”融合发展，</w:t>
      </w:r>
      <w:r>
        <w:rPr>
          <w:rFonts w:hint="default" w:ascii="Times New Roman" w:hAnsi="Times New Roman" w:eastAsia="方正仿宋简体" w:cs="Times New Roman"/>
          <w:sz w:val="32"/>
          <w:szCs w:val="40"/>
        </w:rPr>
        <w:t>争取更多科研平台、产业化项目落地见效。</w:t>
      </w:r>
      <w:r>
        <w:rPr>
          <w:rFonts w:hint="default" w:ascii="Times New Roman" w:hAnsi="Times New Roman" w:eastAsia="方正仿宋简体" w:cs="Times New Roman"/>
          <w:sz w:val="32"/>
          <w:szCs w:val="32"/>
        </w:rPr>
        <w:t>扎实推进产业强区建设，加快构建“3+1”先进制造业集群，持续推动强链补链延链</w:t>
      </w:r>
      <w:r>
        <w:rPr>
          <w:rFonts w:hint="default" w:ascii="Times New Roman" w:hAnsi="Times New Roman" w:eastAsia="方正仿宋简体" w:cs="Times New Roman"/>
          <w:spacing w:val="-6"/>
          <w:sz w:val="32"/>
          <w:szCs w:val="32"/>
        </w:rPr>
        <w:t>，确保全年</w:t>
      </w:r>
      <w:r>
        <w:rPr>
          <w:rFonts w:hint="default" w:ascii="Times New Roman" w:hAnsi="Times New Roman" w:eastAsia="方正仿宋简体" w:cs="Times New Roman"/>
          <w:sz w:val="32"/>
          <w:szCs w:val="32"/>
        </w:rPr>
        <w:t>规上工业总产值增长10%以上。抓住用好大规模设备更新、消费品以旧换新、资源循环利用等政策机遇，深入实施“技改强企升级”行动，加速促进数智化新技术新应用赋能产业发展，着力提高全要素生产率，为经济高质量发展注入新的活力。</w:t>
      </w:r>
    </w:p>
    <w:p w14:paraId="3B7A2952">
      <w:pPr>
        <w:spacing w:line="55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40"/>
        </w:rPr>
        <w:t>三是聚焦实体经济，在发展后劲上再增强</w:t>
      </w:r>
      <w:r>
        <w:rPr>
          <w:rFonts w:hint="default" w:ascii="Times New Roman" w:hAnsi="Times New Roman" w:eastAsia="方正仿宋简体" w:cs="Times New Roman"/>
          <w:sz w:val="32"/>
          <w:szCs w:val="40"/>
        </w:rPr>
        <w:t>。坚持将招商引资作为培育新增长点的关键一招，深入推进与中国商飞、中国通用、国轩等重点企业合作，加快在手在谈项目进程，确保项目早日落地见效。全力推进市区两级重大项目建设，</w:t>
      </w:r>
      <w:r>
        <w:rPr>
          <w:rFonts w:hint="default" w:ascii="Times New Roman" w:hAnsi="Times New Roman" w:eastAsia="方正仿宋简体" w:cs="Times New Roman"/>
          <w:sz w:val="32"/>
          <w:szCs w:val="32"/>
        </w:rPr>
        <w:t>落实难题会办机制，加速项目建设进度，争取超计划完成年度投资任务。</w:t>
      </w:r>
      <w:r>
        <w:rPr>
          <w:rFonts w:hint="default" w:ascii="Times New Roman" w:hAnsi="Times New Roman" w:eastAsia="方正仿宋简体" w:cs="Times New Roman"/>
          <w:sz w:val="32"/>
          <w:szCs w:val="40"/>
        </w:rPr>
        <w:t>切实做好项目谋划储备工作，为新一轮超长期特别国债、专项债申报做足准备。积极引进高质量品牌首店，围绕节庆假日和消费旺季，精心组织各类促销活动，培育打造更多网红打卡地</w:t>
      </w:r>
      <w:r>
        <w:rPr>
          <w:rFonts w:hint="default" w:ascii="Times New Roman" w:hAnsi="Times New Roman" w:eastAsia="方正仿宋简体" w:cs="Times New Roman"/>
          <w:sz w:val="32"/>
          <w:szCs w:val="32"/>
        </w:rPr>
        <w:t>；加快完善旅游要素配置，重点打造文旅新消费集聚区，开发“夜游”新模式，不断丰富文旅产品供给，全面释放消费潜力。</w:t>
      </w:r>
    </w:p>
    <w:p w14:paraId="43BCAFE1">
      <w:pPr>
        <w:spacing w:line="55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40"/>
        </w:rPr>
        <w:t>四是聚焦改革开放，在关键环节上再突破</w:t>
      </w:r>
      <w:r>
        <w:rPr>
          <w:rFonts w:hint="default" w:ascii="Times New Roman" w:hAnsi="Times New Roman" w:eastAsia="方正仿宋简体" w:cs="Times New Roman"/>
          <w:sz w:val="32"/>
          <w:szCs w:val="40"/>
        </w:rPr>
        <w:t>。贯彻落实二十届三中全会精神，抓好重点领域、重点环节改革，加速释放六合高质量发展潜力活力。全面落实促进民营经济发展壮大相关措施，最大限度支持民营企业发展。不断</w:t>
      </w:r>
      <w:r>
        <w:rPr>
          <w:rFonts w:hint="default" w:ascii="Times New Roman" w:hAnsi="Times New Roman" w:eastAsia="方正仿宋简体" w:cs="Times New Roman"/>
          <w:sz w:val="32"/>
          <w:szCs w:val="32"/>
        </w:rPr>
        <w:t>提升“一站式”服务能力，健全产业项目帮代办服务体系，推进服务模式由“面对面”到“肩并肩”转变。深入实施国企改革深化提升行动，优化调整国有资本布局结构，提升国有资本配置效率。加快推进国家农业绿色发展先行区、全国农业社会化服务创新试点县等试点示范项目建设。持续扩大高水平对外开放，积极融入“一带一路”、长江经济带、长三角一体化等重大发展战略，</w:t>
      </w:r>
      <w:r>
        <w:rPr>
          <w:rFonts w:hint="default" w:ascii="Times New Roman" w:hAnsi="Times New Roman" w:eastAsia="方正仿宋简体" w:cs="Times New Roman"/>
          <w:sz w:val="32"/>
        </w:rPr>
        <w:t>推动与江北新区、自贸区联动创新发展</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rPr>
        <w:t>积极承接创新成果转移转化，促进区域协同发展、优势互补</w:t>
      </w:r>
      <w:r>
        <w:rPr>
          <w:rFonts w:hint="default" w:ascii="Times New Roman" w:hAnsi="Times New Roman" w:eastAsia="方正仿宋简体" w:cs="Times New Roman"/>
          <w:sz w:val="32"/>
          <w:szCs w:val="32"/>
        </w:rPr>
        <w:t>。</w:t>
      </w:r>
    </w:p>
    <w:p w14:paraId="38B41FEF">
      <w:pPr>
        <w:spacing w:line="55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40"/>
        </w:rPr>
        <w:t>五是聚焦城乡建设，在人居环境上再优化</w:t>
      </w:r>
      <w:r>
        <w:rPr>
          <w:rFonts w:hint="default" w:ascii="Times New Roman" w:hAnsi="Times New Roman" w:eastAsia="方正仿宋简体" w:cs="Times New Roman"/>
          <w:sz w:val="32"/>
          <w:szCs w:val="40"/>
        </w:rPr>
        <w:t>。</w:t>
      </w:r>
      <w:r>
        <w:rPr>
          <w:rFonts w:hint="default" w:ascii="Times New Roman" w:hAnsi="Times New Roman" w:eastAsia="方正仿宋简体" w:cs="Times New Roman"/>
          <w:sz w:val="32"/>
          <w:szCs w:val="32"/>
        </w:rPr>
        <w:t>积极做好宁淮城际铁路、北沿江高铁、宁盐高速、宁滁高速等重点项目地方配套工作，加快422省道等干线公路建设。推进龙袍新城丰北变电站、污水处理厂、安置房及配套中小学等项目建设，完成方州广场绿化工程。稳步推进“平急两用”公共基础设施建设和城中村改造，完成新增停车泊位、老旧供水管网改造等年度目标任务。升级改造市容街景，精细化整治提升14条背街小巷，打造2条“一街一景观”“一街一特色”精品街巷。坚决打好污染防治攻坚战，着力推进大气、土壤、塑料、固废等各类污染治理，努力提升生态污染防治能力。积极谋划整区双碳实施路径，加快推进循环经济产业园建设，争取国家级“整区屋顶分布式光伏开发示范县（市、区）”挂牌，争创省级“双碳”试点。</w:t>
      </w:r>
    </w:p>
    <w:p w14:paraId="7BA9DF1E">
      <w:pPr>
        <w:spacing w:line="55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40"/>
        </w:rPr>
        <w:t>六是聚焦民生福祉，在富民惠民上再发力</w:t>
      </w:r>
      <w:r>
        <w:rPr>
          <w:rFonts w:hint="default" w:ascii="Times New Roman" w:hAnsi="Times New Roman" w:eastAsia="方正仿宋简体" w:cs="Times New Roman"/>
          <w:sz w:val="32"/>
          <w:szCs w:val="40"/>
        </w:rPr>
        <w:t>。扎实推进九大类37项民生实事，全方位做好稳就业工作，确保全年新增城镇就业7300人。</w:t>
      </w:r>
      <w:r>
        <w:rPr>
          <w:rFonts w:hint="default" w:ascii="Times New Roman" w:hAnsi="Times New Roman" w:eastAsia="方正仿宋简体" w:cs="Times New Roman"/>
          <w:sz w:val="32"/>
          <w:szCs w:val="32"/>
        </w:rPr>
        <w:t>推动区人民医院三级乙等医院创建、区中医院三级中医院转设，加快</w:t>
      </w:r>
      <w:r>
        <w:rPr>
          <w:rFonts w:hint="default" w:ascii="Times New Roman" w:hAnsi="Times New Roman" w:eastAsia="方正仿宋简体" w:cs="Times New Roman"/>
          <w:kern w:val="0"/>
          <w:sz w:val="32"/>
          <w:szCs w:val="32"/>
          <w:lang w:bidi="ar"/>
        </w:rPr>
        <w:t>社区卫生服务中心四级中医馆</w:t>
      </w:r>
      <w:r>
        <w:rPr>
          <w:rFonts w:hint="default" w:ascii="Times New Roman" w:hAnsi="Times New Roman" w:eastAsia="方正仿宋简体" w:cs="Times New Roman"/>
          <w:sz w:val="32"/>
          <w:szCs w:val="32"/>
        </w:rPr>
        <w:t>建设。</w:t>
      </w:r>
      <w:r>
        <w:rPr>
          <w:rFonts w:hint="default" w:ascii="Times New Roman" w:hAnsi="Times New Roman" w:eastAsia="方正仿宋简体" w:cs="Times New Roman"/>
          <w:sz w:val="32"/>
          <w:szCs w:val="40"/>
        </w:rPr>
        <w:t>新增省、市优质幼儿园各1所，争取创成</w:t>
      </w:r>
      <w:r>
        <w:rPr>
          <w:rFonts w:hint="default" w:ascii="Times New Roman" w:hAnsi="Times New Roman" w:eastAsia="方正仿宋简体" w:cs="Times New Roman"/>
          <w:sz w:val="32"/>
          <w:szCs w:val="32"/>
        </w:rPr>
        <w:t>省</w:t>
      </w:r>
      <w:r>
        <w:rPr>
          <w:rFonts w:hint="default" w:ascii="Times New Roman" w:hAnsi="Times New Roman" w:eastAsia="方正仿宋简体" w:cs="Times New Roman"/>
          <w:sz w:val="32"/>
          <w:szCs w:val="40"/>
        </w:rPr>
        <w:t>义务教育优质均衡发展区。</w:t>
      </w:r>
      <w:r>
        <w:rPr>
          <w:rFonts w:hint="default" w:ascii="Times New Roman" w:hAnsi="Times New Roman" w:eastAsia="方正仿宋简体" w:cs="Times New Roman"/>
          <w:sz w:val="32"/>
          <w:szCs w:val="32"/>
        </w:rPr>
        <w:t>深化“1+9”矛盾纠纷多元化解体系，推进“一站式”矛盾调解中心建设，开展教育、金融放贷、市场流通三大行业领域整治活动，全面提升人民群众对平安建设的知晓率、参与率。从严从实推进“治本攻坚”三年行动，推动安全生产风险专项整治持续向纵深发展。</w:t>
      </w:r>
      <w:r>
        <w:rPr>
          <w:rFonts w:hint="default" w:ascii="Times New Roman" w:hAnsi="Times New Roman" w:eastAsia="方正仿宋简体" w:cs="Times New Roman"/>
          <w:sz w:val="32"/>
          <w:szCs w:val="40"/>
        </w:rPr>
        <w:t>统筹抓好房地产、非法集资等领域风险防范化解，推动问题早发现、早处置、早解决。</w:t>
      </w:r>
    </w:p>
    <w:sectPr>
      <w:footerReference r:id="rId3" w:type="default"/>
      <w:pgSz w:w="11906" w:h="16838"/>
      <w:pgMar w:top="2098" w:right="1474" w:bottom="1985" w:left="1588" w:header="851" w:footer="141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8189056"/>
    </w:sdtPr>
    <w:sdtEndPr>
      <w:rPr>
        <w:rFonts w:ascii="Times New Roman" w:hAnsi="Times New Roman" w:cs="Times New Roman"/>
        <w:sz w:val="28"/>
        <w:szCs w:val="28"/>
      </w:rPr>
    </w:sdtEndPr>
    <w:sdtContent>
      <w:p w14:paraId="20C83F20">
        <w:pPr>
          <w:pStyle w:val="8"/>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14:paraId="7704EC2E">
    <w:pPr>
      <w:pStyle w:val="8"/>
      <w:tabs>
        <w:tab w:val="left" w:pos="5400"/>
        <w:tab w:val="clear" w:pos="4153"/>
        <w:tab w:val="clear" w:pos="8306"/>
      </w:tabs>
    </w:pP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OTRjMjE0OGM1Mjc0YzQxYTQ4M2JmNzIzZjAyYTMifQ=="/>
  </w:docVars>
  <w:rsids>
    <w:rsidRoot w:val="00051AA5"/>
    <w:rsid w:val="00007520"/>
    <w:rsid w:val="000109E0"/>
    <w:rsid w:val="000126B4"/>
    <w:rsid w:val="000129F5"/>
    <w:rsid w:val="00012CAC"/>
    <w:rsid w:val="00014A7A"/>
    <w:rsid w:val="0002568A"/>
    <w:rsid w:val="000460EE"/>
    <w:rsid w:val="00051AA5"/>
    <w:rsid w:val="00057D00"/>
    <w:rsid w:val="00072DFD"/>
    <w:rsid w:val="00073211"/>
    <w:rsid w:val="00090145"/>
    <w:rsid w:val="00097E00"/>
    <w:rsid w:val="000A3300"/>
    <w:rsid w:val="000A43EA"/>
    <w:rsid w:val="000B0EC1"/>
    <w:rsid w:val="000B27BD"/>
    <w:rsid w:val="000B567B"/>
    <w:rsid w:val="000E0586"/>
    <w:rsid w:val="000E32A4"/>
    <w:rsid w:val="000F6065"/>
    <w:rsid w:val="000F7F30"/>
    <w:rsid w:val="00100D07"/>
    <w:rsid w:val="00113E6C"/>
    <w:rsid w:val="00124FA6"/>
    <w:rsid w:val="00130B28"/>
    <w:rsid w:val="00134024"/>
    <w:rsid w:val="0013522D"/>
    <w:rsid w:val="001448AF"/>
    <w:rsid w:val="00146A2B"/>
    <w:rsid w:val="001554C3"/>
    <w:rsid w:val="00156B3D"/>
    <w:rsid w:val="001578A0"/>
    <w:rsid w:val="00166657"/>
    <w:rsid w:val="00166892"/>
    <w:rsid w:val="00175B24"/>
    <w:rsid w:val="00175FC0"/>
    <w:rsid w:val="00176CFF"/>
    <w:rsid w:val="0017777B"/>
    <w:rsid w:val="00180491"/>
    <w:rsid w:val="001870EA"/>
    <w:rsid w:val="00195434"/>
    <w:rsid w:val="001A28E0"/>
    <w:rsid w:val="001A52AB"/>
    <w:rsid w:val="001B4A4F"/>
    <w:rsid w:val="001C193E"/>
    <w:rsid w:val="001C5E30"/>
    <w:rsid w:val="001C63F1"/>
    <w:rsid w:val="001D4B55"/>
    <w:rsid w:val="001D6243"/>
    <w:rsid w:val="001D6F65"/>
    <w:rsid w:val="001E2F39"/>
    <w:rsid w:val="00201D49"/>
    <w:rsid w:val="00201E04"/>
    <w:rsid w:val="002116CE"/>
    <w:rsid w:val="002171EB"/>
    <w:rsid w:val="00226886"/>
    <w:rsid w:val="00227696"/>
    <w:rsid w:val="00230674"/>
    <w:rsid w:val="00232F4C"/>
    <w:rsid w:val="002403C1"/>
    <w:rsid w:val="00251459"/>
    <w:rsid w:val="00253A5B"/>
    <w:rsid w:val="002565C0"/>
    <w:rsid w:val="0026036F"/>
    <w:rsid w:val="0026296D"/>
    <w:rsid w:val="00266D6F"/>
    <w:rsid w:val="00281D1C"/>
    <w:rsid w:val="00285E14"/>
    <w:rsid w:val="00297430"/>
    <w:rsid w:val="002B0082"/>
    <w:rsid w:val="002B532F"/>
    <w:rsid w:val="002B5AA5"/>
    <w:rsid w:val="002B6FF6"/>
    <w:rsid w:val="002B74FA"/>
    <w:rsid w:val="002C5A4A"/>
    <w:rsid w:val="002D0771"/>
    <w:rsid w:val="002D5742"/>
    <w:rsid w:val="002E3444"/>
    <w:rsid w:val="002E3B42"/>
    <w:rsid w:val="002E422D"/>
    <w:rsid w:val="002E5CEC"/>
    <w:rsid w:val="002F0785"/>
    <w:rsid w:val="002F2593"/>
    <w:rsid w:val="00300CE1"/>
    <w:rsid w:val="003057CB"/>
    <w:rsid w:val="00341769"/>
    <w:rsid w:val="00343D02"/>
    <w:rsid w:val="00345A92"/>
    <w:rsid w:val="00350312"/>
    <w:rsid w:val="00357EA9"/>
    <w:rsid w:val="0036387D"/>
    <w:rsid w:val="00364536"/>
    <w:rsid w:val="00377105"/>
    <w:rsid w:val="003816E8"/>
    <w:rsid w:val="00392F3B"/>
    <w:rsid w:val="00396588"/>
    <w:rsid w:val="003A0434"/>
    <w:rsid w:val="003A23FA"/>
    <w:rsid w:val="003B5CC0"/>
    <w:rsid w:val="003E3210"/>
    <w:rsid w:val="00400490"/>
    <w:rsid w:val="00405329"/>
    <w:rsid w:val="00406D06"/>
    <w:rsid w:val="00410BD2"/>
    <w:rsid w:val="00413AF4"/>
    <w:rsid w:val="00414561"/>
    <w:rsid w:val="00416AAD"/>
    <w:rsid w:val="00423D03"/>
    <w:rsid w:val="00426A0D"/>
    <w:rsid w:val="00435578"/>
    <w:rsid w:val="00441567"/>
    <w:rsid w:val="004616D4"/>
    <w:rsid w:val="004617B0"/>
    <w:rsid w:val="00464482"/>
    <w:rsid w:val="00470F9E"/>
    <w:rsid w:val="004753F4"/>
    <w:rsid w:val="00476A70"/>
    <w:rsid w:val="00483922"/>
    <w:rsid w:val="00486CCE"/>
    <w:rsid w:val="004A05DE"/>
    <w:rsid w:val="004A4258"/>
    <w:rsid w:val="004A7DCF"/>
    <w:rsid w:val="004B0751"/>
    <w:rsid w:val="004C347E"/>
    <w:rsid w:val="004C51C6"/>
    <w:rsid w:val="004C5681"/>
    <w:rsid w:val="004C61D2"/>
    <w:rsid w:val="004D23D8"/>
    <w:rsid w:val="004E4770"/>
    <w:rsid w:val="004E6D2F"/>
    <w:rsid w:val="004F3553"/>
    <w:rsid w:val="004F421D"/>
    <w:rsid w:val="00501A64"/>
    <w:rsid w:val="005146E9"/>
    <w:rsid w:val="005342B1"/>
    <w:rsid w:val="00540129"/>
    <w:rsid w:val="00547861"/>
    <w:rsid w:val="00556C77"/>
    <w:rsid w:val="00571393"/>
    <w:rsid w:val="0058572B"/>
    <w:rsid w:val="00593EF6"/>
    <w:rsid w:val="0059635C"/>
    <w:rsid w:val="005A1013"/>
    <w:rsid w:val="005A4733"/>
    <w:rsid w:val="005A516E"/>
    <w:rsid w:val="005B280E"/>
    <w:rsid w:val="005C66C9"/>
    <w:rsid w:val="005D3766"/>
    <w:rsid w:val="005D3B1B"/>
    <w:rsid w:val="005E2369"/>
    <w:rsid w:val="005F33F9"/>
    <w:rsid w:val="005F5451"/>
    <w:rsid w:val="006141D0"/>
    <w:rsid w:val="00616C99"/>
    <w:rsid w:val="0064321A"/>
    <w:rsid w:val="00643268"/>
    <w:rsid w:val="00645520"/>
    <w:rsid w:val="006536C2"/>
    <w:rsid w:val="00653C74"/>
    <w:rsid w:val="006608E8"/>
    <w:rsid w:val="006651A8"/>
    <w:rsid w:val="00674D3B"/>
    <w:rsid w:val="00675195"/>
    <w:rsid w:val="006771BA"/>
    <w:rsid w:val="00680367"/>
    <w:rsid w:val="00680E2D"/>
    <w:rsid w:val="00681D73"/>
    <w:rsid w:val="0069298A"/>
    <w:rsid w:val="006B7D66"/>
    <w:rsid w:val="006C7D53"/>
    <w:rsid w:val="006D2BF5"/>
    <w:rsid w:val="006F35F8"/>
    <w:rsid w:val="00704A1C"/>
    <w:rsid w:val="00717FEE"/>
    <w:rsid w:val="0072453C"/>
    <w:rsid w:val="00725ECF"/>
    <w:rsid w:val="00732BD8"/>
    <w:rsid w:val="00742D6E"/>
    <w:rsid w:val="00742EE7"/>
    <w:rsid w:val="007462D2"/>
    <w:rsid w:val="00764897"/>
    <w:rsid w:val="00766C59"/>
    <w:rsid w:val="00795AF3"/>
    <w:rsid w:val="007C7610"/>
    <w:rsid w:val="007C79B8"/>
    <w:rsid w:val="007E1E1C"/>
    <w:rsid w:val="007E3224"/>
    <w:rsid w:val="007E64A0"/>
    <w:rsid w:val="007F6FE2"/>
    <w:rsid w:val="008016B8"/>
    <w:rsid w:val="00804EEA"/>
    <w:rsid w:val="00805211"/>
    <w:rsid w:val="00811581"/>
    <w:rsid w:val="00817BC9"/>
    <w:rsid w:val="008401B7"/>
    <w:rsid w:val="00843D3E"/>
    <w:rsid w:val="00847F87"/>
    <w:rsid w:val="008603A1"/>
    <w:rsid w:val="00874211"/>
    <w:rsid w:val="00875480"/>
    <w:rsid w:val="00875A0B"/>
    <w:rsid w:val="0087791D"/>
    <w:rsid w:val="00882F25"/>
    <w:rsid w:val="00886FE4"/>
    <w:rsid w:val="008905A7"/>
    <w:rsid w:val="008A0AA8"/>
    <w:rsid w:val="008A34F6"/>
    <w:rsid w:val="008A7E45"/>
    <w:rsid w:val="008B0143"/>
    <w:rsid w:val="008B05F9"/>
    <w:rsid w:val="008B13A1"/>
    <w:rsid w:val="008B45CD"/>
    <w:rsid w:val="008C73CB"/>
    <w:rsid w:val="008D1232"/>
    <w:rsid w:val="008E4EA0"/>
    <w:rsid w:val="008F44CB"/>
    <w:rsid w:val="0090412D"/>
    <w:rsid w:val="00912B2F"/>
    <w:rsid w:val="009206B0"/>
    <w:rsid w:val="00923A15"/>
    <w:rsid w:val="0092592A"/>
    <w:rsid w:val="00931F4C"/>
    <w:rsid w:val="0093406E"/>
    <w:rsid w:val="00943988"/>
    <w:rsid w:val="00947977"/>
    <w:rsid w:val="00954E11"/>
    <w:rsid w:val="00960183"/>
    <w:rsid w:val="00961505"/>
    <w:rsid w:val="00961B82"/>
    <w:rsid w:val="00971091"/>
    <w:rsid w:val="00981C9B"/>
    <w:rsid w:val="00993A08"/>
    <w:rsid w:val="00995A9D"/>
    <w:rsid w:val="009A0795"/>
    <w:rsid w:val="009A36A6"/>
    <w:rsid w:val="009A49EE"/>
    <w:rsid w:val="009A6CE4"/>
    <w:rsid w:val="009B0765"/>
    <w:rsid w:val="009C2903"/>
    <w:rsid w:val="009D2EF9"/>
    <w:rsid w:val="009D3197"/>
    <w:rsid w:val="009E0420"/>
    <w:rsid w:val="009E08CD"/>
    <w:rsid w:val="009E29CC"/>
    <w:rsid w:val="009E2CC1"/>
    <w:rsid w:val="009E59A4"/>
    <w:rsid w:val="009F253C"/>
    <w:rsid w:val="00A02D2F"/>
    <w:rsid w:val="00A07E4B"/>
    <w:rsid w:val="00A21057"/>
    <w:rsid w:val="00A212E6"/>
    <w:rsid w:val="00A245EA"/>
    <w:rsid w:val="00A25C56"/>
    <w:rsid w:val="00A40548"/>
    <w:rsid w:val="00A70501"/>
    <w:rsid w:val="00A95E17"/>
    <w:rsid w:val="00A97657"/>
    <w:rsid w:val="00AA2525"/>
    <w:rsid w:val="00AC16D4"/>
    <w:rsid w:val="00AC46BF"/>
    <w:rsid w:val="00AD4D9A"/>
    <w:rsid w:val="00AE6ED4"/>
    <w:rsid w:val="00AF1C0D"/>
    <w:rsid w:val="00AF4460"/>
    <w:rsid w:val="00AF72AC"/>
    <w:rsid w:val="00B04A5D"/>
    <w:rsid w:val="00B07814"/>
    <w:rsid w:val="00B218F2"/>
    <w:rsid w:val="00B26C89"/>
    <w:rsid w:val="00B35DBB"/>
    <w:rsid w:val="00B37B34"/>
    <w:rsid w:val="00B423F0"/>
    <w:rsid w:val="00B45B64"/>
    <w:rsid w:val="00B519B2"/>
    <w:rsid w:val="00B56A89"/>
    <w:rsid w:val="00B608CE"/>
    <w:rsid w:val="00B85568"/>
    <w:rsid w:val="00B875F4"/>
    <w:rsid w:val="00B87B53"/>
    <w:rsid w:val="00BA15C9"/>
    <w:rsid w:val="00BB0270"/>
    <w:rsid w:val="00BD0192"/>
    <w:rsid w:val="00BD2C71"/>
    <w:rsid w:val="00BD4CA1"/>
    <w:rsid w:val="00BD6920"/>
    <w:rsid w:val="00BF091B"/>
    <w:rsid w:val="00C001B6"/>
    <w:rsid w:val="00C0081C"/>
    <w:rsid w:val="00C02CC2"/>
    <w:rsid w:val="00C0372D"/>
    <w:rsid w:val="00C119B4"/>
    <w:rsid w:val="00C11E8E"/>
    <w:rsid w:val="00C124A2"/>
    <w:rsid w:val="00C218CC"/>
    <w:rsid w:val="00C25150"/>
    <w:rsid w:val="00C461BC"/>
    <w:rsid w:val="00C50089"/>
    <w:rsid w:val="00C50A48"/>
    <w:rsid w:val="00C53525"/>
    <w:rsid w:val="00C616DD"/>
    <w:rsid w:val="00C660DF"/>
    <w:rsid w:val="00C84581"/>
    <w:rsid w:val="00C971C3"/>
    <w:rsid w:val="00CC127F"/>
    <w:rsid w:val="00CC270E"/>
    <w:rsid w:val="00CC513B"/>
    <w:rsid w:val="00CC5C41"/>
    <w:rsid w:val="00CC6666"/>
    <w:rsid w:val="00CD1502"/>
    <w:rsid w:val="00CD37D3"/>
    <w:rsid w:val="00CE740C"/>
    <w:rsid w:val="00CF47C2"/>
    <w:rsid w:val="00D04C08"/>
    <w:rsid w:val="00D13129"/>
    <w:rsid w:val="00D20615"/>
    <w:rsid w:val="00D4765B"/>
    <w:rsid w:val="00D61AD9"/>
    <w:rsid w:val="00D75AC1"/>
    <w:rsid w:val="00D77A45"/>
    <w:rsid w:val="00D8100A"/>
    <w:rsid w:val="00D94F75"/>
    <w:rsid w:val="00DA461D"/>
    <w:rsid w:val="00DA5D47"/>
    <w:rsid w:val="00DB0F32"/>
    <w:rsid w:val="00DB4795"/>
    <w:rsid w:val="00DC1020"/>
    <w:rsid w:val="00DC54E0"/>
    <w:rsid w:val="00DD2160"/>
    <w:rsid w:val="00DD3F38"/>
    <w:rsid w:val="00DD4AB2"/>
    <w:rsid w:val="00DE1160"/>
    <w:rsid w:val="00DE136F"/>
    <w:rsid w:val="00DF184B"/>
    <w:rsid w:val="00DF435F"/>
    <w:rsid w:val="00DF7785"/>
    <w:rsid w:val="00E048D1"/>
    <w:rsid w:val="00E05FD7"/>
    <w:rsid w:val="00E06054"/>
    <w:rsid w:val="00E2349B"/>
    <w:rsid w:val="00E3178E"/>
    <w:rsid w:val="00E41CB7"/>
    <w:rsid w:val="00E57072"/>
    <w:rsid w:val="00E609D1"/>
    <w:rsid w:val="00E670BC"/>
    <w:rsid w:val="00E71FE0"/>
    <w:rsid w:val="00E814C7"/>
    <w:rsid w:val="00E879E6"/>
    <w:rsid w:val="00EA1521"/>
    <w:rsid w:val="00EA31AB"/>
    <w:rsid w:val="00EA4300"/>
    <w:rsid w:val="00EB029D"/>
    <w:rsid w:val="00EB580C"/>
    <w:rsid w:val="00EB5C0A"/>
    <w:rsid w:val="00EC41C0"/>
    <w:rsid w:val="00ED0149"/>
    <w:rsid w:val="00ED1033"/>
    <w:rsid w:val="00ED1800"/>
    <w:rsid w:val="00EF2514"/>
    <w:rsid w:val="00F004EE"/>
    <w:rsid w:val="00F04E12"/>
    <w:rsid w:val="00F1204E"/>
    <w:rsid w:val="00F16933"/>
    <w:rsid w:val="00F25A28"/>
    <w:rsid w:val="00F41D9E"/>
    <w:rsid w:val="00F56DC3"/>
    <w:rsid w:val="00F56FF5"/>
    <w:rsid w:val="00F70687"/>
    <w:rsid w:val="00F72EFB"/>
    <w:rsid w:val="00F73DC2"/>
    <w:rsid w:val="00F74B36"/>
    <w:rsid w:val="00F822BF"/>
    <w:rsid w:val="00F846C5"/>
    <w:rsid w:val="00F9424F"/>
    <w:rsid w:val="00FA2608"/>
    <w:rsid w:val="00FB6012"/>
    <w:rsid w:val="00FB73AF"/>
    <w:rsid w:val="00FC05F5"/>
    <w:rsid w:val="00FC3292"/>
    <w:rsid w:val="00FC5FC4"/>
    <w:rsid w:val="00FD0F9C"/>
    <w:rsid w:val="00FF4EC2"/>
    <w:rsid w:val="00FF6056"/>
    <w:rsid w:val="00FF78A7"/>
    <w:rsid w:val="00FF7BFC"/>
    <w:rsid w:val="05815436"/>
    <w:rsid w:val="05C4785D"/>
    <w:rsid w:val="085157EE"/>
    <w:rsid w:val="138054ED"/>
    <w:rsid w:val="142179C9"/>
    <w:rsid w:val="161D46D5"/>
    <w:rsid w:val="1B285AE1"/>
    <w:rsid w:val="24027C37"/>
    <w:rsid w:val="24B80AEE"/>
    <w:rsid w:val="2D992708"/>
    <w:rsid w:val="33DD65DA"/>
    <w:rsid w:val="362818EF"/>
    <w:rsid w:val="364E48AB"/>
    <w:rsid w:val="37690C96"/>
    <w:rsid w:val="377A055D"/>
    <w:rsid w:val="37E14EFE"/>
    <w:rsid w:val="385073FB"/>
    <w:rsid w:val="3E573935"/>
    <w:rsid w:val="460348D1"/>
    <w:rsid w:val="480155F8"/>
    <w:rsid w:val="4A6D00F4"/>
    <w:rsid w:val="4F9619ED"/>
    <w:rsid w:val="4F9667B6"/>
    <w:rsid w:val="51404C2B"/>
    <w:rsid w:val="5755523C"/>
    <w:rsid w:val="58613E05"/>
    <w:rsid w:val="5D3D2D81"/>
    <w:rsid w:val="60743B78"/>
    <w:rsid w:val="742B6E35"/>
    <w:rsid w:val="7AAE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4">
    <w:name w:val="heading 3"/>
    <w:basedOn w:val="1"/>
    <w:next w:val="1"/>
    <w:link w:val="17"/>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Body Text First Indent 21"/>
    <w:basedOn w:val="1"/>
    <w:qFormat/>
    <w:uiPriority w:val="0"/>
    <w:pPr>
      <w:ind w:left="200" w:leftChars="200" w:firstLine="420"/>
    </w:pPr>
    <w:rPr>
      <w:rFonts w:ascii="仿宋_GB2312" w:eastAsia="仿宋_GB2312" w:cs="仿宋_GB2312"/>
      <w:szCs w:val="32"/>
    </w:rPr>
  </w:style>
  <w:style w:type="paragraph" w:styleId="5">
    <w:name w:val="Normal Indent"/>
    <w:basedOn w:val="1"/>
    <w:qFormat/>
    <w:uiPriority w:val="99"/>
    <w:pPr>
      <w:ind w:firstLine="420" w:firstLineChars="200"/>
    </w:pPr>
  </w:style>
  <w:style w:type="paragraph" w:styleId="6">
    <w:name w:val="Body Text"/>
    <w:basedOn w:val="1"/>
    <w:link w:val="18"/>
    <w:qFormat/>
    <w:uiPriority w:val="1"/>
    <w:rPr>
      <w:rFonts w:ascii="方正仿宋简体" w:hAnsi="方正仿宋简体" w:eastAsia="方正仿宋简体" w:cs="方正仿宋简体"/>
      <w:sz w:val="32"/>
      <w:szCs w:val="32"/>
      <w:lang w:val="zh-CN" w:bidi="zh-CN"/>
    </w:rPr>
  </w:style>
  <w:style w:type="paragraph" w:styleId="7">
    <w:name w:val="index 4"/>
    <w:basedOn w:val="1"/>
    <w:next w:val="1"/>
    <w:qFormat/>
    <w:uiPriority w:val="99"/>
    <w:pPr>
      <w:ind w:left="600" w:leftChars="600"/>
    </w:p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5"/>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NormalCharacter"/>
    <w:qFormat/>
    <w:uiPriority w:val="0"/>
  </w:style>
  <w:style w:type="character" w:customStyle="1" w:styleId="15">
    <w:name w:val="页眉 字符"/>
    <w:basedOn w:val="12"/>
    <w:link w:val="9"/>
    <w:qFormat/>
    <w:uiPriority w:val="0"/>
    <w:rPr>
      <w:kern w:val="2"/>
      <w:sz w:val="18"/>
      <w:szCs w:val="18"/>
    </w:rPr>
  </w:style>
  <w:style w:type="character" w:customStyle="1" w:styleId="16">
    <w:name w:val="页脚 字符"/>
    <w:basedOn w:val="12"/>
    <w:link w:val="8"/>
    <w:qFormat/>
    <w:uiPriority w:val="99"/>
    <w:rPr>
      <w:kern w:val="2"/>
      <w:sz w:val="18"/>
      <w:szCs w:val="18"/>
    </w:rPr>
  </w:style>
  <w:style w:type="character" w:customStyle="1" w:styleId="17">
    <w:name w:val="标题 3 字符"/>
    <w:basedOn w:val="12"/>
    <w:link w:val="4"/>
    <w:semiHidden/>
    <w:qFormat/>
    <w:uiPriority w:val="0"/>
    <w:rPr>
      <w:b/>
      <w:bCs/>
      <w:kern w:val="2"/>
      <w:sz w:val="32"/>
      <w:szCs w:val="32"/>
    </w:rPr>
  </w:style>
  <w:style w:type="character" w:customStyle="1" w:styleId="18">
    <w:name w:val="正文文本 字符"/>
    <w:basedOn w:val="12"/>
    <w:link w:val="6"/>
    <w:qFormat/>
    <w:uiPriority w:val="1"/>
    <w:rPr>
      <w:rFonts w:ascii="方正仿宋简体" w:hAnsi="方正仿宋简体" w:eastAsia="方正仿宋简体" w:cs="方正仿宋简体"/>
      <w:kern w:val="2"/>
      <w:sz w:val="32"/>
      <w:szCs w:val="3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7C858-6576-4C56-BDCC-D1D3D59CC74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6619</Words>
  <Characters>7106</Characters>
  <Lines>53</Lines>
  <Paragraphs>14</Paragraphs>
  <TotalTime>40</TotalTime>
  <ScaleCrop>false</ScaleCrop>
  <LinksUpToDate>false</LinksUpToDate>
  <CharactersWithSpaces>7110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2023-02-17T06:38:00Z</dcterms:created>
  <dc:creator>Administrator</dc:creator>
  <cp:lastModifiedBy>高  越(fgwgaoyue)</cp:lastModifiedBy>
  <cp:lastPrinted>2024-08-23T01:08:00Z</cp:lastPrinted>
  <dcterms:modified xsi:type="dcterms:W3CDTF">2024-09-25T07:50:54Z</dcterms:modified>
  <cp:revision>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FF277A356E8744D591926A7E5B9AC8BC</vt:lpwstr>
  </property>
</Properties>
</file>